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6647" w14:textId="77777777" w:rsidR="00FA43C1" w:rsidRPr="005348E3" w:rsidRDefault="00166987" w:rsidP="005348E3">
      <w:pPr>
        <w:pStyle w:val="Indicator"/>
        <w:rPr>
          <w:lang w:val="fr-CH"/>
        </w:rPr>
      </w:pPr>
      <w:bookmarkStart w:id="0" w:name="_1t3h5sf"/>
      <w:bookmarkEnd w:id="0"/>
      <w:r w:rsidRPr="005348E3">
        <w:rPr>
          <w:lang w:val="fr-CH"/>
        </w:rPr>
        <w:t>Indicateur 7.2 : Composition du parlement</w:t>
      </w:r>
    </w:p>
    <w:p w14:paraId="5B757E98" w14:textId="77777777" w:rsidR="00FA43C1" w:rsidRPr="005348E3" w:rsidRDefault="00166987" w:rsidP="005348E3">
      <w:pPr>
        <w:pStyle w:val="section-title"/>
      </w:pPr>
      <w:r w:rsidRPr="005348E3">
        <w:t>À propos de l</w:t>
      </w:r>
      <w:r w:rsidRPr="005348E3">
        <w:rPr>
          <w:cs/>
        </w:rPr>
        <w:t>’</w:t>
      </w:r>
      <w:r w:rsidRPr="005348E3">
        <w:t>indicateur</w:t>
      </w:r>
    </w:p>
    <w:p w14:paraId="45866E07" w14:textId="77777777" w:rsidR="00FA43C1" w:rsidRPr="00B14DD3" w:rsidRDefault="00166987" w:rsidP="003A5991">
      <w:pPr>
        <w:spacing w:line="240" w:lineRule="auto"/>
        <w:rPr>
          <w:sz w:val="20"/>
          <w:szCs w:val="20"/>
        </w:rPr>
      </w:pPr>
      <w:r w:rsidRPr="00B14DD3">
        <w:rPr>
          <w:sz w:val="20"/>
        </w:rPr>
        <w:t>La composition d'un parlement démocratique devrait refléter la diversité des opinions politiques, ainsi que les différents groupes de la société. Un parlement qui ne serait pas représentatif de la société qui l'entoure donnerait à certains groupes le sentiment d'être défavorisés sur le plan politique, voire exclus, ce qui serait lourd de conséquences du point de vue de la qualité de la vie publique ou de la stabilité du système politique et de la société en général.</w:t>
      </w:r>
    </w:p>
    <w:p w14:paraId="5137D018" w14:textId="77777777" w:rsidR="00FA43C1" w:rsidRPr="00B14DD3" w:rsidRDefault="00FA43C1" w:rsidP="003A5991">
      <w:pPr>
        <w:spacing w:line="240" w:lineRule="auto"/>
        <w:rPr>
          <w:sz w:val="20"/>
          <w:szCs w:val="20"/>
        </w:rPr>
      </w:pPr>
    </w:p>
    <w:p w14:paraId="6537027B" w14:textId="00E8EA0A" w:rsidR="00FA43C1" w:rsidRPr="00B14DD3" w:rsidRDefault="00166987" w:rsidP="003A5991">
      <w:pPr>
        <w:spacing w:line="240" w:lineRule="auto"/>
        <w:rPr>
          <w:sz w:val="20"/>
        </w:rPr>
      </w:pPr>
      <w:r w:rsidRPr="00B14DD3">
        <w:rPr>
          <w:sz w:val="20"/>
        </w:rPr>
        <w:t xml:space="preserve">La composition du parlement est déterminée par de multiples facteurs, parmi lesquels le mode de scrutin, les partis politiques et, bien évidemment, les préférences de l'électorat. Le parlement contribue à façonner ce système et à garantir que </w:t>
      </w:r>
      <w:r w:rsidR="00B5103D" w:rsidRPr="00B14DD3">
        <w:rPr>
          <w:sz w:val="20"/>
        </w:rPr>
        <w:t>l</w:t>
      </w:r>
      <w:r w:rsidRPr="00B14DD3">
        <w:rPr>
          <w:sz w:val="20"/>
        </w:rPr>
        <w:t xml:space="preserve">a représentation </w:t>
      </w:r>
      <w:r w:rsidR="00B5103D" w:rsidRPr="00B14DD3">
        <w:rPr>
          <w:sz w:val="20"/>
        </w:rPr>
        <w:t xml:space="preserve">parlementaire </w:t>
      </w:r>
      <w:r w:rsidRPr="00B14DD3">
        <w:rPr>
          <w:sz w:val="20"/>
        </w:rPr>
        <w:t xml:space="preserve">reflète la diversité sociale de la nation. Un grand nombre de parlements ont adopté des mesures spéciales telles que des quotas pour promouvoir la représentation des femmes, des jeunes et des autres groupes sous-représentés. </w:t>
      </w:r>
    </w:p>
    <w:p w14:paraId="0A6719C1" w14:textId="77777777" w:rsidR="00FA43C1" w:rsidRPr="00B14DD3" w:rsidRDefault="00FA43C1" w:rsidP="003A5991">
      <w:pPr>
        <w:spacing w:line="240" w:lineRule="auto"/>
        <w:rPr>
          <w:sz w:val="20"/>
        </w:rPr>
      </w:pPr>
    </w:p>
    <w:p w14:paraId="3053B843" w14:textId="77777777" w:rsidR="00FA43C1" w:rsidRPr="00B14DD3" w:rsidRDefault="00166987" w:rsidP="003A5991">
      <w:pPr>
        <w:spacing w:line="240" w:lineRule="auto"/>
        <w:rPr>
          <w:sz w:val="20"/>
          <w:szCs w:val="20"/>
        </w:rPr>
      </w:pPr>
      <w:r w:rsidRPr="00B14DD3">
        <w:rPr>
          <w:sz w:val="20"/>
        </w:rPr>
        <w:t>L'indicateur comprend les aspects suivants :</w:t>
      </w:r>
    </w:p>
    <w:p w14:paraId="16D0B031" w14:textId="77777777" w:rsidR="00FA43C1" w:rsidRPr="00B14DD3" w:rsidRDefault="00FA43C1" w:rsidP="003A5991">
      <w:pPr>
        <w:spacing w:line="240" w:lineRule="auto"/>
        <w:rPr>
          <w:sz w:val="20"/>
          <w:szCs w:val="20"/>
        </w:rPr>
      </w:pPr>
    </w:p>
    <w:p w14:paraId="5F041713" w14:textId="77777777" w:rsidR="00FA43C1" w:rsidRPr="00B14DD3" w:rsidRDefault="00166987" w:rsidP="003A5991">
      <w:pPr>
        <w:numPr>
          <w:ilvl w:val="0"/>
          <w:numId w:val="16"/>
        </w:numPr>
        <w:spacing w:line="240" w:lineRule="auto"/>
        <w:ind w:left="562" w:hanging="562"/>
        <w:rPr>
          <w:sz w:val="20"/>
          <w:szCs w:val="20"/>
        </w:rPr>
      </w:pPr>
      <w:r w:rsidRPr="00B14DD3">
        <w:rPr>
          <w:sz w:val="20"/>
        </w:rPr>
        <w:t>Aspect 7.2.1 : Représentation de la diversité politique</w:t>
      </w:r>
    </w:p>
    <w:p w14:paraId="3AF6147C" w14:textId="77777777" w:rsidR="00FA43C1" w:rsidRPr="00B14DD3" w:rsidRDefault="00FA43C1" w:rsidP="00B46BC1">
      <w:pPr>
        <w:spacing w:line="240" w:lineRule="auto"/>
        <w:ind w:left="562"/>
        <w:rPr>
          <w:sz w:val="20"/>
          <w:szCs w:val="20"/>
        </w:rPr>
      </w:pPr>
    </w:p>
    <w:p w14:paraId="0D7CB80F" w14:textId="77777777" w:rsidR="00FA43C1" w:rsidRPr="00B14DD3" w:rsidRDefault="00166987" w:rsidP="003A5991">
      <w:pPr>
        <w:numPr>
          <w:ilvl w:val="0"/>
          <w:numId w:val="16"/>
        </w:numPr>
        <w:spacing w:line="240" w:lineRule="auto"/>
        <w:ind w:left="562" w:hanging="562"/>
        <w:rPr>
          <w:sz w:val="20"/>
          <w:szCs w:val="20"/>
        </w:rPr>
      </w:pPr>
      <w:r w:rsidRPr="00B14DD3">
        <w:rPr>
          <w:sz w:val="20"/>
        </w:rPr>
        <w:t>Aspect 7.2.2 : Représentation des femmes</w:t>
      </w:r>
    </w:p>
    <w:p w14:paraId="04ADD738" w14:textId="77777777" w:rsidR="00FA43C1" w:rsidRPr="00B14DD3" w:rsidRDefault="00FA43C1" w:rsidP="00B46BC1">
      <w:pPr>
        <w:spacing w:line="240" w:lineRule="auto"/>
        <w:rPr>
          <w:sz w:val="20"/>
          <w:szCs w:val="20"/>
        </w:rPr>
      </w:pPr>
    </w:p>
    <w:p w14:paraId="1C262290" w14:textId="77777777" w:rsidR="00FA43C1" w:rsidRPr="00B14DD3" w:rsidRDefault="00166987" w:rsidP="003A5991">
      <w:pPr>
        <w:numPr>
          <w:ilvl w:val="0"/>
          <w:numId w:val="16"/>
        </w:numPr>
        <w:spacing w:line="240" w:lineRule="auto"/>
        <w:ind w:left="562" w:hanging="562"/>
        <w:rPr>
          <w:sz w:val="20"/>
          <w:szCs w:val="20"/>
        </w:rPr>
      </w:pPr>
      <w:r w:rsidRPr="00B14DD3">
        <w:rPr>
          <w:sz w:val="20"/>
        </w:rPr>
        <w:t>Aspect 7.2.3 : Représentation des jeunes</w:t>
      </w:r>
    </w:p>
    <w:p w14:paraId="7E08B005" w14:textId="77777777" w:rsidR="00FA43C1" w:rsidRPr="00B14DD3" w:rsidRDefault="00FA43C1" w:rsidP="00B46BC1">
      <w:pPr>
        <w:spacing w:line="240" w:lineRule="auto"/>
        <w:rPr>
          <w:sz w:val="20"/>
          <w:szCs w:val="20"/>
        </w:rPr>
      </w:pPr>
    </w:p>
    <w:p w14:paraId="2E55BB7C" w14:textId="77777777" w:rsidR="00FA43C1" w:rsidRPr="00B14DD3" w:rsidRDefault="00166987" w:rsidP="003A5991">
      <w:pPr>
        <w:numPr>
          <w:ilvl w:val="0"/>
          <w:numId w:val="16"/>
        </w:numPr>
        <w:spacing w:line="240" w:lineRule="auto"/>
        <w:ind w:left="562" w:hanging="562"/>
        <w:rPr>
          <w:sz w:val="20"/>
          <w:szCs w:val="20"/>
        </w:rPr>
      </w:pPr>
      <w:r w:rsidRPr="00B14DD3">
        <w:rPr>
          <w:sz w:val="20"/>
        </w:rPr>
        <w:t xml:space="preserve">Aspect 7.2.4 : Représentation des autres groupes sous-représentés </w:t>
      </w:r>
    </w:p>
    <w:p w14:paraId="2A064DB4" w14:textId="77777777" w:rsidR="00FA43C1" w:rsidRPr="00B14DD3" w:rsidRDefault="00FA43C1" w:rsidP="003A5991">
      <w:pPr>
        <w:spacing w:line="240" w:lineRule="auto"/>
        <w:ind w:left="720"/>
        <w:rPr>
          <w:sz w:val="20"/>
          <w:szCs w:val="20"/>
        </w:rPr>
      </w:pPr>
    </w:p>
    <w:p w14:paraId="4EDFBB12" w14:textId="77777777" w:rsidR="00FA43C1" w:rsidRPr="00B14DD3" w:rsidRDefault="00FA43C1" w:rsidP="003A5991">
      <w:pPr>
        <w:spacing w:line="240" w:lineRule="auto"/>
        <w:rPr>
          <w:sz w:val="20"/>
          <w:szCs w:val="20"/>
        </w:rPr>
      </w:pPr>
    </w:p>
    <w:p w14:paraId="781882B8" w14:textId="77777777" w:rsidR="00FA43C1" w:rsidRPr="00B14DD3" w:rsidRDefault="00FA43C1" w:rsidP="003A5991">
      <w:pPr>
        <w:spacing w:line="240" w:lineRule="auto"/>
        <w:rPr>
          <w:sz w:val="20"/>
          <w:szCs w:val="20"/>
        </w:rPr>
      </w:pPr>
    </w:p>
    <w:p w14:paraId="5F5BBD3C" w14:textId="77777777" w:rsidR="00FA43C1" w:rsidRPr="00B14DD3" w:rsidRDefault="00166987" w:rsidP="005348E3">
      <w:pPr>
        <w:pStyle w:val="Dimension"/>
      </w:pPr>
      <w:bookmarkStart w:id="1" w:name="_4d34og8"/>
      <w:bookmarkEnd w:id="1"/>
      <w:r w:rsidRPr="00B14DD3">
        <w:lastRenderedPageBreak/>
        <w:t xml:space="preserve">Aspect 7.2.1 : Représentation de la diversité politique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A5991" w:rsidRPr="00B14DD3" w14:paraId="3AB506A3" w14:textId="77777777" w:rsidTr="002C74AC">
        <w:tc>
          <w:tcPr>
            <w:tcW w:w="9120" w:type="dxa"/>
            <w:shd w:val="clear" w:color="auto" w:fill="EEEEEE"/>
          </w:tcPr>
          <w:p w14:paraId="5D779251" w14:textId="77777777" w:rsidR="00FA43C1" w:rsidRPr="00B14DD3" w:rsidRDefault="00166987" w:rsidP="002C74AC">
            <w:pPr>
              <w:spacing w:line="240" w:lineRule="auto"/>
              <w:rPr>
                <w:sz w:val="20"/>
                <w:szCs w:val="20"/>
              </w:rPr>
            </w:pPr>
            <w:r w:rsidRPr="00B14DD3">
              <w:rPr>
                <w:sz w:val="20"/>
              </w:rPr>
              <w:t>Cet aspect s'applique aux éléments suivants :</w:t>
            </w:r>
          </w:p>
          <w:p w14:paraId="4F35205D" w14:textId="77777777" w:rsidR="00FA43C1" w:rsidRPr="00B14DD3" w:rsidRDefault="00166987" w:rsidP="002C74AC">
            <w:pPr>
              <w:pStyle w:val="Paragraphedeliste"/>
              <w:numPr>
                <w:ilvl w:val="0"/>
                <w:numId w:val="17"/>
              </w:numPr>
              <w:spacing w:line="240" w:lineRule="auto"/>
              <w:rPr>
                <w:rFonts w:eastAsia="Calibri" w:cs="Calibri"/>
                <w:sz w:val="20"/>
                <w:szCs w:val="20"/>
              </w:rPr>
            </w:pPr>
            <w:r w:rsidRPr="00B14DD3">
              <w:rPr>
                <w:sz w:val="20"/>
              </w:rPr>
              <w:t>Indicateur 7.2 : Intégrité des élections</w:t>
            </w:r>
          </w:p>
          <w:p w14:paraId="4427820D" w14:textId="77777777" w:rsidR="00FA43C1" w:rsidRPr="00B14DD3" w:rsidRDefault="00166987" w:rsidP="002C74AC">
            <w:pPr>
              <w:pStyle w:val="Paragraphedeliste"/>
              <w:numPr>
                <w:ilvl w:val="0"/>
                <w:numId w:val="17"/>
              </w:numPr>
              <w:spacing w:line="240" w:lineRule="auto"/>
              <w:rPr>
                <w:rFonts w:eastAsia="Calibri" w:cs="Calibri"/>
                <w:sz w:val="24"/>
                <w:szCs w:val="20"/>
              </w:rPr>
            </w:pPr>
            <w:r w:rsidRPr="00B14DD3">
              <w:rPr>
                <w:sz w:val="20"/>
              </w:rPr>
              <w:t>Cible 7 : Des parlements représentatifs</w:t>
            </w:r>
          </w:p>
        </w:tc>
      </w:tr>
    </w:tbl>
    <w:p w14:paraId="4DCC73DB" w14:textId="77777777" w:rsidR="00FA43C1" w:rsidRPr="00B14DD3" w:rsidRDefault="00166987" w:rsidP="005348E3">
      <w:pPr>
        <w:pStyle w:val="section-title"/>
      </w:pPr>
      <w:r w:rsidRPr="00B14DD3">
        <w:t>À propos de l'aspect</w:t>
      </w:r>
    </w:p>
    <w:p w14:paraId="37856DD4" w14:textId="71EE9462" w:rsidR="00FA43C1" w:rsidRPr="00B14DD3" w:rsidRDefault="00166987" w:rsidP="003A5991">
      <w:pPr>
        <w:spacing w:line="240" w:lineRule="auto"/>
        <w:rPr>
          <w:sz w:val="20"/>
        </w:rPr>
      </w:pPr>
      <w:r w:rsidRPr="00B14DD3">
        <w:rPr>
          <w:sz w:val="20"/>
        </w:rPr>
        <w:t xml:space="preserve">Cet aspect concerne les dispositions juridiques garantissant la représentation parlementaire des opinions politiques dans leur diversité. Ces dispositions couvrent des </w:t>
      </w:r>
      <w:r w:rsidR="00B5103D" w:rsidRPr="00B14DD3">
        <w:rPr>
          <w:sz w:val="20"/>
        </w:rPr>
        <w:t xml:space="preserve">éléments </w:t>
      </w:r>
      <w:r w:rsidRPr="00B14DD3">
        <w:rPr>
          <w:sz w:val="20"/>
        </w:rPr>
        <w:t xml:space="preserve">tels que le mode de scrutin, les procédures d'enregistrement des partis politiques et, le cas échéant, des candidats sans étiquette, ainsi que les seuils </w:t>
      </w:r>
      <w:r w:rsidR="0004172C" w:rsidRPr="00B14DD3">
        <w:rPr>
          <w:sz w:val="20"/>
        </w:rPr>
        <w:t xml:space="preserve">de représentation parlementaire </w:t>
      </w:r>
      <w:r w:rsidRPr="00B14DD3">
        <w:rPr>
          <w:sz w:val="20"/>
        </w:rPr>
        <w:t>et les pouvoirs accordés aux différents groupes politiques voire, le cas échéant, aux parlementaires sans étiquette.</w:t>
      </w:r>
    </w:p>
    <w:p w14:paraId="046371A2" w14:textId="77777777" w:rsidR="00FA43C1" w:rsidRPr="00B14DD3" w:rsidRDefault="00166987" w:rsidP="005348E3">
      <w:pPr>
        <w:pStyle w:val="section-title"/>
      </w:pPr>
      <w:r w:rsidRPr="00B14DD3">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3A5991" w:rsidRPr="00B14DD3" w14:paraId="1A656E33" w14:textId="77777777" w:rsidTr="003A5991">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60B0B38" w14:textId="77777777" w:rsidR="00FA43C1" w:rsidRPr="00B14DD3" w:rsidRDefault="00166987" w:rsidP="003A5991">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 la diversité politique : </w:t>
            </w:r>
          </w:p>
          <w:p w14:paraId="20BA6C77" w14:textId="77777777" w:rsidR="00FA43C1" w:rsidRPr="00B14DD3" w:rsidRDefault="00FA43C1" w:rsidP="003A5991">
            <w:pPr>
              <w:spacing w:line="240" w:lineRule="auto"/>
              <w:rPr>
                <w:sz w:val="20"/>
                <w:szCs w:val="20"/>
              </w:rPr>
            </w:pPr>
          </w:p>
          <w:p w14:paraId="2ADFD44B" w14:textId="77777777" w:rsidR="00FA43C1" w:rsidRPr="00B14DD3" w:rsidRDefault="00166987" w:rsidP="003A5991">
            <w:pPr>
              <w:spacing w:line="240" w:lineRule="auto"/>
              <w:rPr>
                <w:sz w:val="20"/>
                <w:szCs w:val="20"/>
              </w:rPr>
            </w:pPr>
            <w:r w:rsidRPr="00B14DD3">
              <w:rPr>
                <w:sz w:val="20"/>
              </w:rPr>
              <w:t>Le mode de scrutin est conçu de façon à garantir que l'attribution des sièges parlementaires reflète fidèlement la part des voix dont ont bénéficié les différents partis politiques et candidats.</w:t>
            </w:r>
          </w:p>
          <w:p w14:paraId="67E00A86" w14:textId="77777777" w:rsidR="00FA43C1" w:rsidRPr="00B14DD3" w:rsidRDefault="00FA43C1" w:rsidP="003A5991">
            <w:pPr>
              <w:spacing w:line="240" w:lineRule="auto"/>
              <w:rPr>
                <w:sz w:val="20"/>
                <w:szCs w:val="20"/>
              </w:rPr>
            </w:pPr>
          </w:p>
          <w:p w14:paraId="1900A93F" w14:textId="65BD1F03" w:rsidR="00FA43C1" w:rsidRPr="00B14DD3" w:rsidRDefault="00166987" w:rsidP="003A5991">
            <w:pPr>
              <w:spacing w:line="240" w:lineRule="auto"/>
              <w:rPr>
                <w:sz w:val="20"/>
                <w:szCs w:val="20"/>
              </w:rPr>
            </w:pPr>
            <w:r w:rsidRPr="00B14DD3">
              <w:rPr>
                <w:sz w:val="20"/>
              </w:rPr>
              <w:t>Le cadre juridique établit des procédures claires et transparentes pour l'enregistrement des partis politiques et des candidats aux élections, notamment des critère</w:t>
            </w:r>
            <w:r w:rsidR="00DC2ED9" w:rsidRPr="00B14DD3">
              <w:rPr>
                <w:sz w:val="20"/>
              </w:rPr>
              <w:t>s</w:t>
            </w:r>
            <w:r w:rsidRPr="00B14DD3">
              <w:rPr>
                <w:sz w:val="20"/>
              </w:rPr>
              <w:t xml:space="preserve"> d'éligibilité rationnels, des procédures cohérentes et des échéances tenables.</w:t>
            </w:r>
          </w:p>
          <w:p w14:paraId="4969A54F" w14:textId="77777777" w:rsidR="00FA43C1" w:rsidRPr="00B14DD3" w:rsidRDefault="00FA43C1" w:rsidP="003A5991">
            <w:pPr>
              <w:spacing w:line="240" w:lineRule="auto"/>
              <w:rPr>
                <w:sz w:val="20"/>
                <w:szCs w:val="20"/>
              </w:rPr>
            </w:pPr>
          </w:p>
          <w:p w14:paraId="74F7B637" w14:textId="65AB8E88" w:rsidR="00FA43C1" w:rsidRPr="00B14DD3" w:rsidRDefault="00166987" w:rsidP="003A5991">
            <w:pPr>
              <w:spacing w:line="240" w:lineRule="auto"/>
              <w:rPr>
                <w:sz w:val="20"/>
                <w:szCs w:val="20"/>
              </w:rPr>
            </w:pPr>
            <w:r w:rsidRPr="00B14DD3">
              <w:rPr>
                <w:sz w:val="20"/>
              </w:rPr>
              <w:t xml:space="preserve">S'il y a lieu, le cadre juridique fixe un seuil des suffrages exprimés raisonnable </w:t>
            </w:r>
            <w:r w:rsidR="00DC2ED9" w:rsidRPr="00B14DD3">
              <w:rPr>
                <w:sz w:val="20"/>
              </w:rPr>
              <w:t>pour permettre à un parti ou un candidat d’accéder au parlement</w:t>
            </w:r>
            <w:r w:rsidRPr="00B14DD3">
              <w:rPr>
                <w:sz w:val="20"/>
              </w:rPr>
              <w:t xml:space="preserve">. </w:t>
            </w:r>
          </w:p>
          <w:p w14:paraId="5E16591C" w14:textId="77777777" w:rsidR="00FA43C1" w:rsidRPr="00B14DD3" w:rsidRDefault="00FA43C1" w:rsidP="003A5991">
            <w:pPr>
              <w:spacing w:line="240" w:lineRule="auto"/>
              <w:rPr>
                <w:color w:val="0070C0"/>
                <w:sz w:val="20"/>
                <w:szCs w:val="20"/>
              </w:rPr>
            </w:pPr>
          </w:p>
        </w:tc>
      </w:tr>
    </w:tbl>
    <w:p w14:paraId="40416B00" w14:textId="77777777" w:rsidR="00FA43C1" w:rsidRPr="00B14DD3" w:rsidRDefault="00166987" w:rsidP="005348E3">
      <w:pPr>
        <w:pStyle w:val="section-title"/>
      </w:pPr>
      <w:bookmarkStart w:id="2" w:name="_2s8eyo1"/>
      <w:bookmarkEnd w:id="2"/>
      <w:r w:rsidRPr="00B14DD3">
        <w:t>Évaluation</w:t>
      </w:r>
    </w:p>
    <w:p w14:paraId="28B2BBFD" w14:textId="77777777" w:rsidR="00FA43C1" w:rsidRPr="00B14DD3" w:rsidRDefault="00166987" w:rsidP="003A5991">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BE29C58" w14:textId="77777777" w:rsidR="00FA43C1" w:rsidRPr="00B14DD3" w:rsidRDefault="00166987" w:rsidP="003A5991">
      <w:pPr>
        <w:spacing w:before="200" w:line="240" w:lineRule="auto"/>
        <w:rPr>
          <w:sz w:val="20"/>
          <w:szCs w:val="20"/>
        </w:rPr>
      </w:pPr>
      <w:r w:rsidRPr="00B14DD3">
        <w:rPr>
          <w:sz w:val="20"/>
        </w:rPr>
        <w:t>Exemples d'éléments permettant d'étayer l'évaluation :</w:t>
      </w:r>
    </w:p>
    <w:p w14:paraId="6F94C816" w14:textId="77777777" w:rsidR="00FA43C1" w:rsidRPr="00B14DD3" w:rsidRDefault="00FA43C1" w:rsidP="003A5991">
      <w:pPr>
        <w:spacing w:line="240" w:lineRule="auto"/>
        <w:rPr>
          <w:sz w:val="20"/>
          <w:szCs w:val="20"/>
        </w:rPr>
      </w:pPr>
    </w:p>
    <w:p w14:paraId="39CCF864" w14:textId="77777777" w:rsidR="00FA43C1" w:rsidRPr="00B14DD3" w:rsidRDefault="00166987" w:rsidP="003A5991">
      <w:pPr>
        <w:numPr>
          <w:ilvl w:val="0"/>
          <w:numId w:val="15"/>
        </w:numPr>
        <w:spacing w:line="240" w:lineRule="auto"/>
        <w:ind w:left="562" w:hanging="562"/>
        <w:rPr>
          <w:sz w:val="20"/>
          <w:szCs w:val="20"/>
        </w:rPr>
      </w:pPr>
      <w:r w:rsidRPr="00B14DD3">
        <w:rPr>
          <w:sz w:val="20"/>
        </w:rPr>
        <w:t>Dispositions de la Constitution ou autres éléments du cadre juridique établissant un mode de scrutin permettant la représentation parlementaire des différentes opinions politiques</w:t>
      </w:r>
    </w:p>
    <w:p w14:paraId="0761ECAC" w14:textId="77777777" w:rsidR="00FA43C1" w:rsidRPr="00B14DD3" w:rsidRDefault="00166987" w:rsidP="003A5991">
      <w:pPr>
        <w:numPr>
          <w:ilvl w:val="0"/>
          <w:numId w:val="15"/>
        </w:numPr>
        <w:spacing w:line="240" w:lineRule="auto"/>
        <w:ind w:left="562" w:hanging="562"/>
        <w:rPr>
          <w:sz w:val="20"/>
          <w:szCs w:val="20"/>
        </w:rPr>
      </w:pPr>
      <w:r w:rsidRPr="00B14DD3">
        <w:rPr>
          <w:sz w:val="20"/>
        </w:rPr>
        <w:t>Dispositions du cadre juridique relatives au découpage/redécoupage des circonscriptions électorales</w:t>
      </w:r>
    </w:p>
    <w:p w14:paraId="52C13BE1" w14:textId="77777777" w:rsidR="00FA43C1" w:rsidRPr="00B14DD3" w:rsidRDefault="00166987" w:rsidP="003A5991">
      <w:pPr>
        <w:numPr>
          <w:ilvl w:val="0"/>
          <w:numId w:val="15"/>
        </w:numPr>
        <w:spacing w:line="240" w:lineRule="auto"/>
        <w:ind w:left="562" w:hanging="562"/>
        <w:rPr>
          <w:sz w:val="20"/>
          <w:szCs w:val="20"/>
        </w:rPr>
      </w:pPr>
      <w:r w:rsidRPr="00B14DD3">
        <w:rPr>
          <w:sz w:val="20"/>
        </w:rPr>
        <w:t>Dispositions de la législation électorale relatives à l'enregistrement des partis/des candidats</w:t>
      </w:r>
    </w:p>
    <w:p w14:paraId="5A2305D2" w14:textId="356CD00C" w:rsidR="00FA43C1" w:rsidRPr="00B14DD3" w:rsidRDefault="00166987" w:rsidP="003A5991">
      <w:pPr>
        <w:numPr>
          <w:ilvl w:val="0"/>
          <w:numId w:val="15"/>
        </w:numPr>
        <w:spacing w:line="240" w:lineRule="auto"/>
        <w:ind w:left="562" w:hanging="562"/>
        <w:rPr>
          <w:sz w:val="20"/>
          <w:szCs w:val="20"/>
        </w:rPr>
      </w:pPr>
      <w:r w:rsidRPr="00B14DD3">
        <w:rPr>
          <w:sz w:val="20"/>
        </w:rPr>
        <w:t xml:space="preserve">Dispositions de la Constitution ou autres éléments du cadre juridique relatifs aux seuils </w:t>
      </w:r>
      <w:r w:rsidR="005268A2" w:rsidRPr="00B14DD3">
        <w:rPr>
          <w:sz w:val="20"/>
        </w:rPr>
        <w:t>de représentation parlementaire</w:t>
      </w:r>
    </w:p>
    <w:p w14:paraId="0CA33663" w14:textId="77777777" w:rsidR="00FA43C1" w:rsidRPr="00B14DD3" w:rsidRDefault="00166987" w:rsidP="003A5991">
      <w:pPr>
        <w:numPr>
          <w:ilvl w:val="0"/>
          <w:numId w:val="15"/>
        </w:numPr>
        <w:spacing w:line="240" w:lineRule="auto"/>
        <w:ind w:left="562" w:hanging="562"/>
        <w:rPr>
          <w:sz w:val="20"/>
          <w:szCs w:val="20"/>
        </w:rPr>
      </w:pPr>
      <w:r w:rsidRPr="00B14DD3">
        <w:rPr>
          <w:sz w:val="20"/>
        </w:rPr>
        <w:t>Rapports des observateurs des élections</w:t>
      </w:r>
    </w:p>
    <w:p w14:paraId="6C6A396C" w14:textId="77777777" w:rsidR="00FA43C1" w:rsidRPr="00B14DD3" w:rsidRDefault="00FA43C1" w:rsidP="003A5991">
      <w:pPr>
        <w:spacing w:line="240" w:lineRule="auto"/>
        <w:rPr>
          <w:sz w:val="20"/>
          <w:szCs w:val="20"/>
        </w:rPr>
      </w:pPr>
      <w:bookmarkStart w:id="3" w:name="_17dp8vu"/>
      <w:bookmarkEnd w:id="3"/>
    </w:p>
    <w:p w14:paraId="4229CCAF" w14:textId="77777777" w:rsidR="00FA43C1" w:rsidRPr="00B14DD3" w:rsidRDefault="00166987" w:rsidP="003A5991">
      <w:pPr>
        <w:spacing w:line="240" w:lineRule="auto"/>
        <w:rPr>
          <w:sz w:val="20"/>
          <w:szCs w:val="20"/>
        </w:rPr>
      </w:pPr>
      <w:r w:rsidRPr="00B14DD3">
        <w:rPr>
          <w:sz w:val="20"/>
        </w:rPr>
        <w:t>Le cas échéant, merci de bien vouloir communiquer des observations ou exemples supplémentaires pour étayer l'évaluation.</w:t>
      </w:r>
    </w:p>
    <w:p w14:paraId="589E3781" w14:textId="77777777" w:rsidR="00FA43C1" w:rsidRPr="00B14DD3" w:rsidRDefault="00166987" w:rsidP="00E0404A">
      <w:pPr>
        <w:pStyle w:val="Titre4"/>
      </w:pPr>
      <w:bookmarkStart w:id="4" w:name="_optd8j8sbk4"/>
      <w:bookmarkEnd w:id="4"/>
      <w:r w:rsidRPr="00B14DD3">
        <w:t>Critère d'évaluation n° 1 : Conception du mode de scrutin</w:t>
      </w:r>
    </w:p>
    <w:p w14:paraId="48C43936" w14:textId="77777777" w:rsidR="00FA43C1" w:rsidRPr="00B14DD3" w:rsidRDefault="00166987" w:rsidP="00EF4E47">
      <w:pPr>
        <w:spacing w:line="240" w:lineRule="auto"/>
        <w:rPr>
          <w:sz w:val="20"/>
          <w:szCs w:val="20"/>
        </w:rPr>
      </w:pPr>
      <w:r w:rsidRPr="00B14DD3">
        <w:rPr>
          <w:sz w:val="20"/>
        </w:rPr>
        <w:t>Le mode de scrutin est conçu de façon à garantir que l'attribution des sièges parlementaires reflète fidèlement la part des voix dont ont bénéficié les différents partis politiques et candidats.</w:t>
      </w:r>
    </w:p>
    <w:p w14:paraId="2AD3B54B"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A5991" w:rsidRPr="00B14DD3" w14:paraId="67ED4235"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DECE92" w14:textId="77777777" w:rsidR="00FA43C1" w:rsidRPr="00B14DD3" w:rsidRDefault="00166987" w:rsidP="003A5991">
            <w:pPr>
              <w:spacing w:line="240" w:lineRule="auto"/>
              <w:jc w:val="center"/>
              <w:rPr>
                <w:rFonts w:eastAsia="Calibri"/>
                <w:sz w:val="20"/>
                <w:szCs w:val="20"/>
              </w:rPr>
            </w:pPr>
            <w:r w:rsidRPr="00B14DD3">
              <w:rPr>
                <w:sz w:val="20"/>
              </w:rPr>
              <w:t>Néant</w:t>
            </w:r>
          </w:p>
          <w:p w14:paraId="7CA78616"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CFEC09" w14:textId="77777777" w:rsidR="00FA43C1" w:rsidRPr="00B14DD3" w:rsidRDefault="00166987" w:rsidP="003A5991">
            <w:pPr>
              <w:spacing w:line="240" w:lineRule="auto"/>
              <w:jc w:val="center"/>
              <w:rPr>
                <w:rFonts w:eastAsia="Calibri"/>
                <w:sz w:val="20"/>
                <w:szCs w:val="20"/>
              </w:rPr>
            </w:pPr>
            <w:r w:rsidRPr="00B14DD3">
              <w:rPr>
                <w:sz w:val="20"/>
              </w:rPr>
              <w:t xml:space="preserve">Médiocre </w:t>
            </w:r>
          </w:p>
          <w:p w14:paraId="609EDA6D"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2E7A8A" w14:textId="77777777" w:rsidR="00FA43C1" w:rsidRPr="00B14DD3" w:rsidRDefault="00166987" w:rsidP="003A5991">
            <w:pPr>
              <w:spacing w:line="240" w:lineRule="auto"/>
              <w:jc w:val="center"/>
              <w:rPr>
                <w:rFonts w:eastAsia="Calibri"/>
                <w:sz w:val="20"/>
                <w:szCs w:val="20"/>
              </w:rPr>
            </w:pPr>
            <w:r w:rsidRPr="00B14DD3">
              <w:rPr>
                <w:sz w:val="20"/>
              </w:rPr>
              <w:t>Moyen</w:t>
            </w:r>
          </w:p>
          <w:p w14:paraId="171FCC0A"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E34F2F" w14:textId="77777777" w:rsidR="00FA43C1" w:rsidRPr="00B14DD3" w:rsidRDefault="00166987" w:rsidP="003A5991">
            <w:pPr>
              <w:spacing w:line="240" w:lineRule="auto"/>
              <w:jc w:val="center"/>
              <w:rPr>
                <w:rFonts w:eastAsia="Calibri"/>
                <w:sz w:val="20"/>
                <w:szCs w:val="20"/>
              </w:rPr>
            </w:pPr>
            <w:r w:rsidRPr="00B14DD3">
              <w:rPr>
                <w:sz w:val="20"/>
              </w:rPr>
              <w:t>Bon</w:t>
            </w:r>
          </w:p>
          <w:p w14:paraId="606196B6"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DFBFC0" w14:textId="77777777" w:rsidR="00FA43C1" w:rsidRPr="00B14DD3" w:rsidRDefault="00166987" w:rsidP="003A5991">
            <w:pPr>
              <w:spacing w:line="240" w:lineRule="auto"/>
              <w:jc w:val="center"/>
              <w:rPr>
                <w:rFonts w:eastAsia="Calibri"/>
                <w:sz w:val="20"/>
                <w:szCs w:val="20"/>
              </w:rPr>
            </w:pPr>
            <w:r w:rsidRPr="00B14DD3">
              <w:rPr>
                <w:sz w:val="20"/>
              </w:rPr>
              <w:t>Très bon</w:t>
            </w:r>
          </w:p>
          <w:p w14:paraId="14CBF75A"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DCFFEC" w14:textId="77777777" w:rsidR="00FA43C1" w:rsidRPr="00B14DD3" w:rsidRDefault="00166987" w:rsidP="003A5991">
            <w:pPr>
              <w:spacing w:line="240" w:lineRule="auto"/>
              <w:jc w:val="center"/>
              <w:rPr>
                <w:rFonts w:eastAsia="Calibri"/>
                <w:sz w:val="20"/>
                <w:szCs w:val="20"/>
              </w:rPr>
            </w:pPr>
            <w:r w:rsidRPr="00B14DD3">
              <w:rPr>
                <w:sz w:val="20"/>
              </w:rPr>
              <w:t>Excellent</w:t>
            </w:r>
          </w:p>
          <w:p w14:paraId="0C5304D6"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r>
      <w:tr w:rsidR="003A5991" w:rsidRPr="00B14DD3" w14:paraId="096A81B3"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1DB80" w14:textId="77777777" w:rsidR="00FA43C1" w:rsidRPr="00B14DD3" w:rsidRDefault="00166987" w:rsidP="003A5991">
            <w:pPr>
              <w:spacing w:line="240" w:lineRule="auto"/>
              <w:rPr>
                <w:rFonts w:eastAsia="Calibri"/>
                <w:color w:val="005F9A"/>
                <w:sz w:val="20"/>
                <w:szCs w:val="20"/>
              </w:rPr>
            </w:pPr>
            <w:r w:rsidRPr="00B14DD3">
              <w:rPr>
                <w:color w:val="005F9A"/>
                <w:sz w:val="20"/>
              </w:rPr>
              <w:t>Éléments à l'appui de l'évaluation :</w:t>
            </w:r>
          </w:p>
          <w:p w14:paraId="0C1E74BA" w14:textId="77777777" w:rsidR="00FA43C1" w:rsidRPr="00B14DD3" w:rsidRDefault="00FA43C1" w:rsidP="003A5991">
            <w:pPr>
              <w:spacing w:line="240" w:lineRule="auto"/>
              <w:rPr>
                <w:rFonts w:eastAsia="Calibri"/>
                <w:color w:val="0000FF"/>
                <w:sz w:val="20"/>
                <w:szCs w:val="20"/>
              </w:rPr>
            </w:pPr>
          </w:p>
          <w:p w14:paraId="0770B208" w14:textId="77777777" w:rsidR="00FA43C1" w:rsidRPr="00B14DD3" w:rsidRDefault="00FA43C1" w:rsidP="003A5991">
            <w:pPr>
              <w:spacing w:line="240" w:lineRule="auto"/>
              <w:rPr>
                <w:rFonts w:eastAsia="Calibri"/>
                <w:color w:val="0000FF"/>
                <w:sz w:val="20"/>
                <w:szCs w:val="20"/>
              </w:rPr>
            </w:pPr>
          </w:p>
        </w:tc>
      </w:tr>
    </w:tbl>
    <w:p w14:paraId="55FE6A9F" w14:textId="77777777" w:rsidR="00FA43C1" w:rsidRPr="00B14DD3" w:rsidRDefault="00166987" w:rsidP="00E0404A">
      <w:pPr>
        <w:pStyle w:val="Titre4"/>
      </w:pPr>
      <w:bookmarkStart w:id="5" w:name="_xs2gj9k7z0aj"/>
      <w:bookmarkEnd w:id="5"/>
      <w:r w:rsidRPr="00B14DD3">
        <w:t>Critère d'évaluation n° 2 : Enregistrement des partis/candidats</w:t>
      </w:r>
    </w:p>
    <w:p w14:paraId="1C4D3140" w14:textId="0187D2E6" w:rsidR="00FA43C1" w:rsidRPr="00B14DD3" w:rsidRDefault="00166987" w:rsidP="003A5991">
      <w:pPr>
        <w:spacing w:line="240" w:lineRule="auto"/>
        <w:rPr>
          <w:sz w:val="20"/>
          <w:szCs w:val="20"/>
        </w:rPr>
      </w:pPr>
      <w:r w:rsidRPr="00B14DD3">
        <w:rPr>
          <w:sz w:val="20"/>
        </w:rPr>
        <w:t>Le cadre juridique établit des procédures claires et transparentes pour l'enregistrement des partis politiques et des candidats aux élections, notamment des critère</w:t>
      </w:r>
      <w:r w:rsidR="00DC2ED9" w:rsidRPr="00B14DD3">
        <w:rPr>
          <w:sz w:val="20"/>
        </w:rPr>
        <w:t>s</w:t>
      </w:r>
      <w:r w:rsidRPr="00B14DD3">
        <w:rPr>
          <w:sz w:val="20"/>
        </w:rPr>
        <w:t xml:space="preserve"> d'éligibilité rationnels, des procédures cohérentes et des échéances tenables. </w:t>
      </w:r>
    </w:p>
    <w:p w14:paraId="586735C5"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A5991" w:rsidRPr="00B14DD3" w14:paraId="7A747CE1"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86B863" w14:textId="77777777" w:rsidR="00FA43C1" w:rsidRPr="00B14DD3" w:rsidRDefault="00166987" w:rsidP="003A5991">
            <w:pPr>
              <w:spacing w:line="240" w:lineRule="auto"/>
              <w:jc w:val="center"/>
              <w:rPr>
                <w:rFonts w:eastAsia="Calibri"/>
                <w:sz w:val="20"/>
                <w:szCs w:val="20"/>
              </w:rPr>
            </w:pPr>
            <w:bookmarkStart w:id="6" w:name="_26in1rg"/>
            <w:bookmarkEnd w:id="6"/>
            <w:r w:rsidRPr="00B14DD3">
              <w:rPr>
                <w:sz w:val="20"/>
              </w:rPr>
              <w:t>Néant</w:t>
            </w:r>
          </w:p>
          <w:p w14:paraId="6D5C5E11"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91A38C" w14:textId="77777777" w:rsidR="00FA43C1" w:rsidRPr="00B14DD3" w:rsidRDefault="00166987" w:rsidP="003A5991">
            <w:pPr>
              <w:spacing w:line="240" w:lineRule="auto"/>
              <w:jc w:val="center"/>
              <w:rPr>
                <w:rFonts w:eastAsia="Calibri"/>
                <w:sz w:val="20"/>
                <w:szCs w:val="20"/>
              </w:rPr>
            </w:pPr>
            <w:r w:rsidRPr="00B14DD3">
              <w:rPr>
                <w:sz w:val="20"/>
              </w:rPr>
              <w:t xml:space="preserve">Médiocre </w:t>
            </w:r>
          </w:p>
          <w:p w14:paraId="6D3BDE97"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D7318E" w14:textId="77777777" w:rsidR="00FA43C1" w:rsidRPr="00B14DD3" w:rsidRDefault="00166987" w:rsidP="003A5991">
            <w:pPr>
              <w:spacing w:line="240" w:lineRule="auto"/>
              <w:jc w:val="center"/>
              <w:rPr>
                <w:rFonts w:eastAsia="Calibri"/>
                <w:sz w:val="20"/>
                <w:szCs w:val="20"/>
              </w:rPr>
            </w:pPr>
            <w:r w:rsidRPr="00B14DD3">
              <w:rPr>
                <w:sz w:val="20"/>
              </w:rPr>
              <w:t>Moyen</w:t>
            </w:r>
          </w:p>
          <w:p w14:paraId="5694E13D"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91B408" w14:textId="77777777" w:rsidR="00FA43C1" w:rsidRPr="00B14DD3" w:rsidRDefault="00166987" w:rsidP="003A5991">
            <w:pPr>
              <w:spacing w:line="240" w:lineRule="auto"/>
              <w:jc w:val="center"/>
              <w:rPr>
                <w:rFonts w:eastAsia="Calibri"/>
                <w:sz w:val="20"/>
                <w:szCs w:val="20"/>
              </w:rPr>
            </w:pPr>
            <w:r w:rsidRPr="00B14DD3">
              <w:rPr>
                <w:sz w:val="20"/>
              </w:rPr>
              <w:t>Bon</w:t>
            </w:r>
          </w:p>
          <w:p w14:paraId="78B46CB2"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BAE80B" w14:textId="77777777" w:rsidR="00FA43C1" w:rsidRPr="00B14DD3" w:rsidRDefault="00166987" w:rsidP="003A5991">
            <w:pPr>
              <w:spacing w:line="240" w:lineRule="auto"/>
              <w:jc w:val="center"/>
              <w:rPr>
                <w:rFonts w:eastAsia="Calibri"/>
                <w:sz w:val="20"/>
                <w:szCs w:val="20"/>
              </w:rPr>
            </w:pPr>
            <w:r w:rsidRPr="00B14DD3">
              <w:rPr>
                <w:sz w:val="20"/>
              </w:rPr>
              <w:t>Très bon</w:t>
            </w:r>
          </w:p>
          <w:p w14:paraId="6964BFBE"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1CBC61" w14:textId="77777777" w:rsidR="00FA43C1" w:rsidRPr="00B14DD3" w:rsidRDefault="00166987" w:rsidP="003A5991">
            <w:pPr>
              <w:spacing w:line="240" w:lineRule="auto"/>
              <w:jc w:val="center"/>
              <w:rPr>
                <w:rFonts w:eastAsia="Calibri"/>
                <w:sz w:val="20"/>
                <w:szCs w:val="20"/>
              </w:rPr>
            </w:pPr>
            <w:r w:rsidRPr="00B14DD3">
              <w:rPr>
                <w:sz w:val="20"/>
              </w:rPr>
              <w:t>Excellent</w:t>
            </w:r>
          </w:p>
          <w:p w14:paraId="3E73C5B5" w14:textId="77777777" w:rsidR="00FA43C1" w:rsidRPr="00B14DD3" w:rsidRDefault="00166987" w:rsidP="003A5991">
            <w:pPr>
              <w:spacing w:line="240" w:lineRule="auto"/>
              <w:jc w:val="center"/>
              <w:rPr>
                <w:rFonts w:eastAsia="Calibri"/>
                <w:sz w:val="20"/>
                <w:szCs w:val="20"/>
              </w:rPr>
            </w:pPr>
            <w:r w:rsidRPr="00B14DD3">
              <w:rPr>
                <w:rFonts w:ascii="Segoe UI Symbol" w:hAnsi="Segoe UI Symbol" w:cs="Segoe UI Symbol"/>
                <w:sz w:val="20"/>
                <w:cs/>
              </w:rPr>
              <w:t>☐</w:t>
            </w:r>
          </w:p>
        </w:tc>
      </w:tr>
      <w:tr w:rsidR="003A5991" w:rsidRPr="00B14DD3" w14:paraId="0D891229"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7B28E" w14:textId="77777777" w:rsidR="00FA43C1" w:rsidRPr="00B14DD3" w:rsidRDefault="00166987" w:rsidP="003A5991">
            <w:pPr>
              <w:spacing w:line="240" w:lineRule="auto"/>
              <w:rPr>
                <w:rFonts w:eastAsia="Calibri"/>
                <w:color w:val="005F9A"/>
                <w:sz w:val="20"/>
                <w:szCs w:val="20"/>
              </w:rPr>
            </w:pPr>
            <w:r w:rsidRPr="00B14DD3">
              <w:rPr>
                <w:color w:val="005F9A"/>
                <w:sz w:val="20"/>
              </w:rPr>
              <w:t>Éléments à l'appui de l'évaluation :</w:t>
            </w:r>
          </w:p>
          <w:p w14:paraId="10B9E44E" w14:textId="77777777" w:rsidR="00FA43C1" w:rsidRPr="00B14DD3" w:rsidRDefault="00FA43C1" w:rsidP="003A5991">
            <w:pPr>
              <w:spacing w:line="240" w:lineRule="auto"/>
              <w:rPr>
                <w:rFonts w:eastAsia="Calibri"/>
                <w:color w:val="0000FF"/>
                <w:sz w:val="20"/>
                <w:szCs w:val="20"/>
              </w:rPr>
            </w:pPr>
          </w:p>
          <w:p w14:paraId="46783B55" w14:textId="77777777" w:rsidR="00FA43C1" w:rsidRPr="00B14DD3" w:rsidRDefault="00FA43C1" w:rsidP="003A5991">
            <w:pPr>
              <w:spacing w:line="240" w:lineRule="auto"/>
              <w:rPr>
                <w:rFonts w:eastAsia="Calibri"/>
                <w:color w:val="0000FF"/>
                <w:sz w:val="20"/>
                <w:szCs w:val="20"/>
              </w:rPr>
            </w:pPr>
          </w:p>
        </w:tc>
      </w:tr>
    </w:tbl>
    <w:p w14:paraId="5E8A600C" w14:textId="77777777" w:rsidR="00FA43C1" w:rsidRPr="00B14DD3" w:rsidRDefault="00166987" w:rsidP="00E0404A">
      <w:pPr>
        <w:pStyle w:val="Titre4"/>
      </w:pPr>
      <w:bookmarkStart w:id="7" w:name="_ahv187f4s412"/>
      <w:bookmarkEnd w:id="7"/>
      <w:r w:rsidRPr="00B14DD3">
        <w:t>Critère d'évaluation n° 3 : Seuils électoraux</w:t>
      </w:r>
    </w:p>
    <w:p w14:paraId="5E73F98A" w14:textId="77777777" w:rsidR="00DC2ED9" w:rsidRPr="00B14DD3" w:rsidRDefault="00166987" w:rsidP="00DC2ED9">
      <w:pPr>
        <w:spacing w:line="240" w:lineRule="auto"/>
        <w:rPr>
          <w:sz w:val="20"/>
          <w:szCs w:val="20"/>
        </w:rPr>
      </w:pPr>
      <w:r w:rsidRPr="00B14DD3">
        <w:rPr>
          <w:sz w:val="20"/>
        </w:rPr>
        <w:t xml:space="preserve">Le cas échéant, le cadre juridique fixe un seuil des suffrages exprimés raisonnable </w:t>
      </w:r>
      <w:r w:rsidR="00DC2ED9" w:rsidRPr="00B14DD3">
        <w:rPr>
          <w:sz w:val="20"/>
        </w:rPr>
        <w:t xml:space="preserve">pour permettre à un parti ou un candidat d’accéder au parlement. </w:t>
      </w:r>
    </w:p>
    <w:p w14:paraId="7D938C30" w14:textId="223919D2" w:rsidR="00FA43C1" w:rsidRPr="00B14DD3" w:rsidRDefault="00FA43C1" w:rsidP="003A5991">
      <w:pPr>
        <w:spacing w:line="240" w:lineRule="auto"/>
        <w:rPr>
          <w:sz w:val="20"/>
          <w:szCs w:val="20"/>
        </w:rPr>
      </w:pPr>
    </w:p>
    <w:p w14:paraId="207619DB"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A5991" w:rsidRPr="00B14DD3" w14:paraId="6BD8D9BB"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CAA951" w14:textId="77777777" w:rsidR="00FA43C1" w:rsidRPr="00B14DD3" w:rsidRDefault="00166987">
            <w:pPr>
              <w:jc w:val="center"/>
              <w:rPr>
                <w:rFonts w:eastAsia="Calibri"/>
                <w:sz w:val="20"/>
                <w:szCs w:val="20"/>
              </w:rPr>
            </w:pPr>
            <w:r w:rsidRPr="00B14DD3">
              <w:rPr>
                <w:sz w:val="20"/>
              </w:rPr>
              <w:t>Néant</w:t>
            </w:r>
          </w:p>
          <w:p w14:paraId="12CE829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7384CA" w14:textId="77777777" w:rsidR="00FA43C1" w:rsidRPr="00B14DD3" w:rsidRDefault="00166987">
            <w:pPr>
              <w:jc w:val="center"/>
              <w:rPr>
                <w:rFonts w:eastAsia="Calibri"/>
                <w:sz w:val="20"/>
                <w:szCs w:val="20"/>
              </w:rPr>
            </w:pPr>
            <w:r w:rsidRPr="00B14DD3">
              <w:rPr>
                <w:sz w:val="20"/>
              </w:rPr>
              <w:t xml:space="preserve">Médiocre </w:t>
            </w:r>
          </w:p>
          <w:p w14:paraId="45B9EEE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0E221B" w14:textId="77777777" w:rsidR="00FA43C1" w:rsidRPr="00B14DD3" w:rsidRDefault="00166987">
            <w:pPr>
              <w:jc w:val="center"/>
              <w:rPr>
                <w:rFonts w:eastAsia="Calibri"/>
                <w:sz w:val="20"/>
                <w:szCs w:val="20"/>
              </w:rPr>
            </w:pPr>
            <w:r w:rsidRPr="00B14DD3">
              <w:rPr>
                <w:sz w:val="20"/>
              </w:rPr>
              <w:t>Moyen</w:t>
            </w:r>
          </w:p>
          <w:p w14:paraId="7E3F1CA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3B315F" w14:textId="77777777" w:rsidR="00FA43C1" w:rsidRPr="00B14DD3" w:rsidRDefault="00166987">
            <w:pPr>
              <w:jc w:val="center"/>
              <w:rPr>
                <w:rFonts w:eastAsia="Calibri"/>
                <w:sz w:val="20"/>
                <w:szCs w:val="20"/>
              </w:rPr>
            </w:pPr>
            <w:r w:rsidRPr="00B14DD3">
              <w:rPr>
                <w:sz w:val="20"/>
              </w:rPr>
              <w:t>Bon</w:t>
            </w:r>
          </w:p>
          <w:p w14:paraId="37E1E959"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C1BB05" w14:textId="77777777" w:rsidR="00FA43C1" w:rsidRPr="00B14DD3" w:rsidRDefault="00166987">
            <w:pPr>
              <w:jc w:val="center"/>
              <w:rPr>
                <w:rFonts w:eastAsia="Calibri"/>
                <w:sz w:val="20"/>
                <w:szCs w:val="20"/>
              </w:rPr>
            </w:pPr>
            <w:r w:rsidRPr="00B14DD3">
              <w:rPr>
                <w:sz w:val="20"/>
              </w:rPr>
              <w:t>Très bon</w:t>
            </w:r>
          </w:p>
          <w:p w14:paraId="533097CA"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3C0CA8" w14:textId="77777777" w:rsidR="00FA43C1" w:rsidRPr="00B14DD3" w:rsidRDefault="00166987">
            <w:pPr>
              <w:jc w:val="center"/>
              <w:rPr>
                <w:rFonts w:eastAsia="Calibri"/>
                <w:sz w:val="20"/>
                <w:szCs w:val="20"/>
              </w:rPr>
            </w:pPr>
            <w:r w:rsidRPr="00B14DD3">
              <w:rPr>
                <w:sz w:val="20"/>
              </w:rPr>
              <w:t>Excellent</w:t>
            </w:r>
          </w:p>
          <w:p w14:paraId="3CBE4E91"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3A5991" w:rsidRPr="00B14DD3" w14:paraId="751A2175"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5B897" w14:textId="77777777" w:rsidR="00FA43C1" w:rsidRPr="00B14DD3" w:rsidRDefault="00166987">
            <w:pPr>
              <w:rPr>
                <w:rFonts w:eastAsia="Calibri"/>
                <w:color w:val="005F9A"/>
                <w:sz w:val="20"/>
                <w:szCs w:val="20"/>
              </w:rPr>
            </w:pPr>
            <w:r w:rsidRPr="00B14DD3">
              <w:rPr>
                <w:color w:val="005F9A"/>
                <w:sz w:val="20"/>
              </w:rPr>
              <w:t>Éléments à l'appui de l'évaluation :</w:t>
            </w:r>
          </w:p>
          <w:p w14:paraId="37277B28" w14:textId="77777777" w:rsidR="00FA43C1" w:rsidRPr="00B14DD3" w:rsidRDefault="00FA43C1">
            <w:pPr>
              <w:rPr>
                <w:rFonts w:eastAsia="Calibri"/>
                <w:color w:val="0000FF"/>
                <w:sz w:val="20"/>
                <w:szCs w:val="20"/>
              </w:rPr>
            </w:pPr>
          </w:p>
          <w:p w14:paraId="00AC8294" w14:textId="77777777" w:rsidR="00FA43C1" w:rsidRPr="00B14DD3" w:rsidRDefault="00FA43C1">
            <w:pPr>
              <w:rPr>
                <w:rFonts w:eastAsia="Calibri"/>
                <w:color w:val="0000FF"/>
                <w:sz w:val="20"/>
                <w:szCs w:val="20"/>
              </w:rPr>
            </w:pPr>
          </w:p>
        </w:tc>
      </w:tr>
    </w:tbl>
    <w:p w14:paraId="06828077" w14:textId="77777777" w:rsidR="00FA43C1" w:rsidRPr="00B14DD3" w:rsidRDefault="00166987" w:rsidP="00E0404A">
      <w:pPr>
        <w:pStyle w:val="Titre4"/>
      </w:pPr>
      <w:bookmarkStart w:id="8" w:name="_2cbxwlrj2ng"/>
      <w:bookmarkEnd w:id="8"/>
      <w:r w:rsidRPr="00B14DD3">
        <w:t>Critère d'évaluation n° 4 : Pratique</w:t>
      </w:r>
    </w:p>
    <w:p w14:paraId="57871717" w14:textId="77777777" w:rsidR="00FA43C1" w:rsidRPr="00B14DD3" w:rsidRDefault="00166987" w:rsidP="003A5991">
      <w:pPr>
        <w:spacing w:line="240" w:lineRule="auto"/>
        <w:rPr>
          <w:sz w:val="20"/>
          <w:szCs w:val="20"/>
        </w:rPr>
      </w:pPr>
      <w:r w:rsidRPr="00B14DD3">
        <w:rPr>
          <w:sz w:val="20"/>
        </w:rPr>
        <w:t xml:space="preserve">Dans la pratique, les partis politiques sont représentés au parlement proportionnellement à leur popularité auprès de l'électorat. Aucun parti ni candidat n'est arbitrairement empêché de participer aux élections ni de remporter un siège au parlement. </w:t>
      </w:r>
    </w:p>
    <w:p w14:paraId="748DC098" w14:textId="77777777" w:rsidR="00FA43C1" w:rsidRPr="00B14DD3" w:rsidRDefault="00FA43C1" w:rsidP="003A5991">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3A5991" w:rsidRPr="00B14DD3" w14:paraId="52F309D1"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226EFE" w14:textId="77777777" w:rsidR="00FA43C1" w:rsidRPr="00B14DD3" w:rsidRDefault="00166987">
            <w:pPr>
              <w:jc w:val="center"/>
              <w:rPr>
                <w:rFonts w:eastAsia="Calibri"/>
                <w:sz w:val="20"/>
                <w:szCs w:val="20"/>
              </w:rPr>
            </w:pPr>
            <w:r w:rsidRPr="00B14DD3">
              <w:rPr>
                <w:sz w:val="20"/>
              </w:rPr>
              <w:t>Néant</w:t>
            </w:r>
          </w:p>
          <w:p w14:paraId="2D08F62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D7A442" w14:textId="77777777" w:rsidR="00FA43C1" w:rsidRPr="00B14DD3" w:rsidRDefault="00166987">
            <w:pPr>
              <w:jc w:val="center"/>
              <w:rPr>
                <w:rFonts w:eastAsia="Calibri"/>
                <w:sz w:val="20"/>
                <w:szCs w:val="20"/>
              </w:rPr>
            </w:pPr>
            <w:r w:rsidRPr="00B14DD3">
              <w:rPr>
                <w:sz w:val="20"/>
              </w:rPr>
              <w:t xml:space="preserve">Médiocre </w:t>
            </w:r>
          </w:p>
          <w:p w14:paraId="2AC5685F"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41C9AB" w14:textId="77777777" w:rsidR="00FA43C1" w:rsidRPr="00B14DD3" w:rsidRDefault="00166987">
            <w:pPr>
              <w:jc w:val="center"/>
              <w:rPr>
                <w:rFonts w:eastAsia="Calibri"/>
                <w:sz w:val="20"/>
                <w:szCs w:val="20"/>
              </w:rPr>
            </w:pPr>
            <w:r w:rsidRPr="00B14DD3">
              <w:rPr>
                <w:sz w:val="20"/>
              </w:rPr>
              <w:t>Moyen</w:t>
            </w:r>
          </w:p>
          <w:p w14:paraId="60E2980F"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F069DD" w14:textId="77777777" w:rsidR="00FA43C1" w:rsidRPr="00B14DD3" w:rsidRDefault="00166987">
            <w:pPr>
              <w:jc w:val="center"/>
              <w:rPr>
                <w:rFonts w:eastAsia="Calibri"/>
                <w:sz w:val="20"/>
                <w:szCs w:val="20"/>
              </w:rPr>
            </w:pPr>
            <w:r w:rsidRPr="00B14DD3">
              <w:rPr>
                <w:sz w:val="20"/>
              </w:rPr>
              <w:t>Bon</w:t>
            </w:r>
          </w:p>
          <w:p w14:paraId="751A2B2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F5AE44" w14:textId="77777777" w:rsidR="00FA43C1" w:rsidRPr="00B14DD3" w:rsidRDefault="00166987">
            <w:pPr>
              <w:jc w:val="center"/>
              <w:rPr>
                <w:rFonts w:eastAsia="Calibri"/>
                <w:sz w:val="20"/>
                <w:szCs w:val="20"/>
              </w:rPr>
            </w:pPr>
            <w:r w:rsidRPr="00B14DD3">
              <w:rPr>
                <w:sz w:val="20"/>
              </w:rPr>
              <w:t>Très bon</w:t>
            </w:r>
          </w:p>
          <w:p w14:paraId="772B245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D1F16CB" w14:textId="77777777" w:rsidR="00FA43C1" w:rsidRPr="00B14DD3" w:rsidRDefault="00166987">
            <w:pPr>
              <w:jc w:val="center"/>
              <w:rPr>
                <w:rFonts w:eastAsia="Calibri"/>
                <w:sz w:val="20"/>
                <w:szCs w:val="20"/>
              </w:rPr>
            </w:pPr>
            <w:r w:rsidRPr="00B14DD3">
              <w:rPr>
                <w:sz w:val="20"/>
              </w:rPr>
              <w:t>Excellent</w:t>
            </w:r>
          </w:p>
          <w:p w14:paraId="3CBA524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3A5991" w:rsidRPr="00B14DD3" w14:paraId="53ADE889"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C6E37" w14:textId="77777777" w:rsidR="00FA43C1" w:rsidRPr="00B14DD3" w:rsidRDefault="00166987">
            <w:pPr>
              <w:rPr>
                <w:rFonts w:eastAsia="Calibri"/>
                <w:color w:val="005F9A"/>
                <w:sz w:val="20"/>
                <w:szCs w:val="20"/>
              </w:rPr>
            </w:pPr>
            <w:r w:rsidRPr="00B14DD3">
              <w:rPr>
                <w:color w:val="005F9A"/>
                <w:sz w:val="20"/>
              </w:rPr>
              <w:t>Éléments à l'appui de l'évaluation :</w:t>
            </w:r>
          </w:p>
          <w:p w14:paraId="4DAD2546" w14:textId="77777777" w:rsidR="00FA43C1" w:rsidRPr="00B14DD3" w:rsidRDefault="00FA43C1">
            <w:pPr>
              <w:rPr>
                <w:rFonts w:eastAsia="Calibri"/>
                <w:color w:val="0000FF"/>
                <w:sz w:val="20"/>
                <w:szCs w:val="20"/>
              </w:rPr>
            </w:pPr>
          </w:p>
          <w:p w14:paraId="067BBA7C" w14:textId="77777777" w:rsidR="00FA43C1" w:rsidRPr="00B14DD3" w:rsidRDefault="00FA43C1">
            <w:pPr>
              <w:rPr>
                <w:rFonts w:eastAsia="Calibri"/>
                <w:color w:val="0000FF"/>
                <w:sz w:val="20"/>
                <w:szCs w:val="20"/>
              </w:rPr>
            </w:pPr>
          </w:p>
        </w:tc>
      </w:tr>
    </w:tbl>
    <w:p w14:paraId="51BEA02B" w14:textId="77777777" w:rsidR="00FA43C1" w:rsidRPr="00B14DD3" w:rsidRDefault="00166987" w:rsidP="005348E3">
      <w:pPr>
        <w:pStyle w:val="section-title"/>
      </w:pPr>
      <w:bookmarkStart w:id="9" w:name="_lnxbz9"/>
      <w:bookmarkEnd w:id="9"/>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3A5991" w:rsidRPr="00B14DD3" w14:paraId="187BC623"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91367A4" w14:textId="77777777" w:rsidR="00FA43C1" w:rsidRPr="00B14DD3" w:rsidRDefault="00166987" w:rsidP="002C74AC">
            <w:pPr>
              <w:keepNext/>
              <w:keepLines/>
              <w:spacing w:line="240" w:lineRule="auto"/>
              <w:rPr>
                <w:rFonts w:eastAsia="Calibri"/>
                <w:sz w:val="20"/>
                <w:szCs w:val="20"/>
              </w:rPr>
            </w:pPr>
            <w:r w:rsidRPr="00B14DD3">
              <w:rPr>
                <w:i/>
                <w:color w:val="000000"/>
                <w:sz w:val="20"/>
              </w:rPr>
              <w:lastRenderedPageBreak/>
              <w:t>Dans cet encadré, notez les recommandations et les idées visant à renforcer les règles et la pratique dans ce domaine.</w:t>
            </w:r>
          </w:p>
        </w:tc>
      </w:tr>
    </w:tbl>
    <w:p w14:paraId="5F6CF219" w14:textId="77777777" w:rsidR="00FA43C1" w:rsidRPr="00B14DD3" w:rsidRDefault="00166987" w:rsidP="005348E3">
      <w:pPr>
        <w:pStyle w:val="section-title"/>
      </w:pPr>
      <w:r w:rsidRPr="00B14DD3">
        <w:t>Sources et autre documentation</w:t>
      </w:r>
    </w:p>
    <w:p w14:paraId="71908A90" w14:textId="6010FF69" w:rsidR="00FA43C1" w:rsidRPr="00B14DD3" w:rsidRDefault="00166987" w:rsidP="003A5991">
      <w:pPr>
        <w:numPr>
          <w:ilvl w:val="0"/>
          <w:numId w:val="13"/>
        </w:numPr>
        <w:spacing w:line="240" w:lineRule="auto"/>
        <w:ind w:left="562" w:hanging="562"/>
        <w:rPr>
          <w:sz w:val="20"/>
          <w:szCs w:val="20"/>
        </w:rPr>
      </w:pPr>
      <w:r w:rsidRPr="00B14DD3">
        <w:rPr>
          <w:sz w:val="20"/>
          <w:szCs w:val="20"/>
        </w:rPr>
        <w:t xml:space="preserve">Commission européenne pour la démocratie par le droit (Commission de Venise), </w:t>
      </w:r>
      <w:hyperlink r:id="rId10">
        <w:r w:rsidRPr="00B14DD3">
          <w:rPr>
            <w:i/>
            <w:color w:val="0563C1"/>
            <w:sz w:val="20"/>
            <w:szCs w:val="20"/>
            <w:u w:val="single"/>
          </w:rPr>
          <w:t>R</w:t>
        </w:r>
        <w:r w:rsidR="0004172C" w:rsidRPr="00B14DD3">
          <w:rPr>
            <w:i/>
            <w:color w:val="0563C1"/>
            <w:sz w:val="20"/>
            <w:szCs w:val="20"/>
            <w:u w:val="single"/>
          </w:rPr>
          <w:t>apport sur les quorums et autres aspects des systèmes électoraux restreignant l’accès au parlement</w:t>
        </w:r>
      </w:hyperlink>
      <w:r w:rsidRPr="00B14DD3">
        <w:rPr>
          <w:sz w:val="20"/>
        </w:rPr>
        <w:t xml:space="preserve"> (2010).</w:t>
      </w:r>
    </w:p>
    <w:p w14:paraId="51209C37" w14:textId="77777777" w:rsidR="00FA43C1" w:rsidRPr="00B14DD3" w:rsidRDefault="00FA43C1" w:rsidP="003A5991">
      <w:pPr>
        <w:spacing w:line="240" w:lineRule="auto"/>
        <w:rPr>
          <w:sz w:val="20"/>
          <w:szCs w:val="20"/>
        </w:rPr>
      </w:pPr>
    </w:p>
    <w:p w14:paraId="6B15C504" w14:textId="77777777" w:rsidR="00FA43C1" w:rsidRPr="00B14DD3" w:rsidRDefault="00FA43C1" w:rsidP="003A5991">
      <w:pPr>
        <w:spacing w:line="240" w:lineRule="auto"/>
        <w:rPr>
          <w:sz w:val="20"/>
          <w:szCs w:val="20"/>
        </w:rPr>
      </w:pPr>
    </w:p>
    <w:p w14:paraId="3D341EE4" w14:textId="77777777" w:rsidR="00FA43C1" w:rsidRPr="00B14DD3" w:rsidRDefault="00FA43C1" w:rsidP="003A5991">
      <w:pPr>
        <w:spacing w:line="240" w:lineRule="auto"/>
        <w:rPr>
          <w:sz w:val="20"/>
          <w:szCs w:val="20"/>
        </w:rPr>
      </w:pPr>
    </w:p>
    <w:p w14:paraId="1391F529" w14:textId="77777777" w:rsidR="00FA43C1" w:rsidRPr="00B14DD3" w:rsidRDefault="00FA43C1" w:rsidP="003A5991">
      <w:pPr>
        <w:spacing w:line="240" w:lineRule="auto"/>
        <w:rPr>
          <w:sz w:val="20"/>
          <w:szCs w:val="20"/>
        </w:rPr>
      </w:pPr>
    </w:p>
    <w:p w14:paraId="6176E1B0" w14:textId="77777777" w:rsidR="00FA43C1" w:rsidRPr="00B14DD3" w:rsidRDefault="00FA43C1" w:rsidP="003A5991">
      <w:pPr>
        <w:spacing w:line="240" w:lineRule="auto"/>
        <w:rPr>
          <w:sz w:val="20"/>
          <w:szCs w:val="20"/>
        </w:rPr>
      </w:pPr>
    </w:p>
    <w:p w14:paraId="28BCF4D5" w14:textId="77777777" w:rsidR="00FA43C1" w:rsidRPr="00B14DD3" w:rsidRDefault="00FA43C1" w:rsidP="003A5991">
      <w:pPr>
        <w:spacing w:line="240" w:lineRule="auto"/>
        <w:rPr>
          <w:sz w:val="20"/>
          <w:szCs w:val="20"/>
        </w:rPr>
      </w:pPr>
    </w:p>
    <w:p w14:paraId="74094553" w14:textId="77777777" w:rsidR="00FA43C1" w:rsidRPr="00B14DD3" w:rsidRDefault="00FA43C1" w:rsidP="003A5991">
      <w:pPr>
        <w:spacing w:line="240" w:lineRule="auto"/>
        <w:rPr>
          <w:sz w:val="20"/>
          <w:szCs w:val="20"/>
        </w:rPr>
      </w:pPr>
    </w:p>
    <w:p w14:paraId="22B578F7" w14:textId="77777777" w:rsidR="00FA43C1" w:rsidRPr="00B14DD3" w:rsidRDefault="00FA43C1" w:rsidP="003A5991">
      <w:pPr>
        <w:spacing w:line="240" w:lineRule="auto"/>
        <w:rPr>
          <w:sz w:val="20"/>
          <w:szCs w:val="20"/>
        </w:rPr>
      </w:pPr>
    </w:p>
    <w:p w14:paraId="26EE604B" w14:textId="77777777" w:rsidR="00FA43C1" w:rsidRPr="00B14DD3" w:rsidRDefault="00FA43C1" w:rsidP="003A5991">
      <w:pPr>
        <w:spacing w:line="240" w:lineRule="auto"/>
        <w:rPr>
          <w:sz w:val="20"/>
          <w:szCs w:val="20"/>
        </w:rPr>
      </w:pPr>
    </w:p>
    <w:p w14:paraId="21F0D871" w14:textId="77777777" w:rsidR="00FA43C1" w:rsidRPr="00B14DD3" w:rsidRDefault="00FA43C1" w:rsidP="003A5991">
      <w:pPr>
        <w:spacing w:line="240" w:lineRule="auto"/>
        <w:rPr>
          <w:sz w:val="20"/>
          <w:szCs w:val="20"/>
        </w:rPr>
      </w:pPr>
    </w:p>
    <w:p w14:paraId="2FAC2D8F" w14:textId="77777777" w:rsidR="00FA43C1" w:rsidRPr="00B14DD3" w:rsidRDefault="00166987" w:rsidP="005348E3">
      <w:pPr>
        <w:pStyle w:val="Dimension"/>
      </w:pPr>
      <w:bookmarkStart w:id="10" w:name="_35nkun2"/>
      <w:bookmarkEnd w:id="10"/>
      <w:r w:rsidRPr="00B14DD3">
        <w:lastRenderedPageBreak/>
        <w:t xml:space="preserve">Aspect 7.2.2 : Représentation des femmes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507D4" w:rsidRPr="00B14DD3" w14:paraId="1A7AD783" w14:textId="77777777" w:rsidTr="002C74AC">
        <w:tc>
          <w:tcPr>
            <w:tcW w:w="9120" w:type="dxa"/>
            <w:shd w:val="clear" w:color="auto" w:fill="EEEEEE"/>
          </w:tcPr>
          <w:p w14:paraId="7B5C9DDD" w14:textId="77777777" w:rsidR="00FA43C1" w:rsidRPr="00B14DD3" w:rsidRDefault="00166987" w:rsidP="002C74AC">
            <w:pPr>
              <w:spacing w:line="240" w:lineRule="auto"/>
              <w:rPr>
                <w:sz w:val="20"/>
                <w:szCs w:val="20"/>
              </w:rPr>
            </w:pPr>
            <w:bookmarkStart w:id="11" w:name="_1ksv4uv"/>
            <w:bookmarkEnd w:id="11"/>
            <w:r w:rsidRPr="00B14DD3">
              <w:rPr>
                <w:sz w:val="20"/>
              </w:rPr>
              <w:t>Cet aspect s'applique aux éléments suivants :</w:t>
            </w:r>
          </w:p>
          <w:p w14:paraId="2B211C1A" w14:textId="77777777" w:rsidR="00FA43C1" w:rsidRPr="00B14DD3" w:rsidRDefault="00166987" w:rsidP="002C74AC">
            <w:pPr>
              <w:pStyle w:val="Paragraphedeliste"/>
              <w:numPr>
                <w:ilvl w:val="0"/>
                <w:numId w:val="17"/>
              </w:numPr>
              <w:spacing w:line="240" w:lineRule="auto"/>
              <w:rPr>
                <w:rFonts w:eastAsia="Calibri" w:cs="Calibri"/>
                <w:sz w:val="20"/>
                <w:szCs w:val="20"/>
              </w:rPr>
            </w:pPr>
            <w:r w:rsidRPr="00B14DD3">
              <w:rPr>
                <w:sz w:val="20"/>
              </w:rPr>
              <w:t>Indicateur 7.2 : Intégrité des élections</w:t>
            </w:r>
          </w:p>
          <w:p w14:paraId="303FCBD1" w14:textId="77777777" w:rsidR="00FA43C1" w:rsidRPr="00B14DD3" w:rsidRDefault="00166987" w:rsidP="002C74AC">
            <w:pPr>
              <w:pStyle w:val="Paragraphedeliste"/>
              <w:numPr>
                <w:ilvl w:val="0"/>
                <w:numId w:val="17"/>
              </w:numPr>
              <w:spacing w:line="240" w:lineRule="auto"/>
              <w:rPr>
                <w:rFonts w:eastAsia="Calibri" w:cs="Calibri"/>
                <w:sz w:val="24"/>
                <w:szCs w:val="20"/>
              </w:rPr>
            </w:pPr>
            <w:r w:rsidRPr="00B14DD3">
              <w:rPr>
                <w:sz w:val="20"/>
              </w:rPr>
              <w:t>Cible 7 : Des parlements représentatifs</w:t>
            </w:r>
          </w:p>
        </w:tc>
      </w:tr>
    </w:tbl>
    <w:p w14:paraId="75AA741C" w14:textId="77777777" w:rsidR="00FA43C1" w:rsidRPr="00B14DD3" w:rsidRDefault="00166987" w:rsidP="005348E3">
      <w:pPr>
        <w:pStyle w:val="section-title"/>
      </w:pPr>
      <w:r w:rsidRPr="00B14DD3">
        <w:t>À propos de l'aspect</w:t>
      </w:r>
    </w:p>
    <w:p w14:paraId="273546DE" w14:textId="0C1ACA3C" w:rsidR="00FA43C1" w:rsidRPr="00B14DD3" w:rsidRDefault="00166987" w:rsidP="003A5991">
      <w:pPr>
        <w:spacing w:line="240" w:lineRule="auto"/>
        <w:rPr>
          <w:sz w:val="20"/>
          <w:szCs w:val="20"/>
        </w:rPr>
      </w:pPr>
      <w:r w:rsidRPr="00B14DD3">
        <w:rPr>
          <w:sz w:val="20"/>
        </w:rPr>
        <w:t xml:space="preserve">Cet aspect a trait au cadre juridique et aux mécanismes instaurés </w:t>
      </w:r>
      <w:r w:rsidR="00EC11C2">
        <w:rPr>
          <w:sz w:val="20"/>
        </w:rPr>
        <w:t xml:space="preserve">pour </w:t>
      </w:r>
      <w:r w:rsidR="007D1F10" w:rsidRPr="00B14DD3">
        <w:rPr>
          <w:sz w:val="20"/>
        </w:rPr>
        <w:t xml:space="preserve">assurer le respect de </w:t>
      </w:r>
      <w:r w:rsidRPr="00B14DD3">
        <w:rPr>
          <w:sz w:val="20"/>
        </w:rPr>
        <w:t xml:space="preserve">la parité dans la composition du parlement, ainsi qu'aux moyens mis en œuvre pour atteindre cet objectif. </w:t>
      </w:r>
    </w:p>
    <w:p w14:paraId="41EC6D51" w14:textId="77777777" w:rsidR="00FA43C1" w:rsidRPr="00B14DD3" w:rsidRDefault="00FA43C1" w:rsidP="003A5991">
      <w:pPr>
        <w:spacing w:line="240" w:lineRule="auto"/>
        <w:rPr>
          <w:sz w:val="20"/>
          <w:szCs w:val="20"/>
        </w:rPr>
      </w:pPr>
    </w:p>
    <w:p w14:paraId="262A9EE2" w14:textId="77777777" w:rsidR="00FA43C1" w:rsidRPr="00B14DD3" w:rsidRDefault="00166987" w:rsidP="003A5991">
      <w:pPr>
        <w:spacing w:line="240" w:lineRule="auto"/>
        <w:rPr>
          <w:sz w:val="20"/>
          <w:szCs w:val="20"/>
        </w:rPr>
      </w:pPr>
      <w:r w:rsidRPr="00B14DD3">
        <w:rPr>
          <w:sz w:val="20"/>
        </w:rPr>
        <w:t xml:space="preserve">Le cadre juridique devrait garantir l'égalité des chances en matière de participation politique des femmes et un environnement électoral exempt d'entraves et de violence. </w:t>
      </w:r>
    </w:p>
    <w:p w14:paraId="4C1E1181" w14:textId="77777777" w:rsidR="00FA43C1" w:rsidRPr="00B14DD3" w:rsidRDefault="00FA43C1" w:rsidP="003A5991">
      <w:pPr>
        <w:spacing w:line="240" w:lineRule="auto"/>
        <w:rPr>
          <w:sz w:val="20"/>
          <w:szCs w:val="20"/>
        </w:rPr>
      </w:pPr>
    </w:p>
    <w:p w14:paraId="38924DB1" w14:textId="77777777" w:rsidR="00FA43C1" w:rsidRPr="00B14DD3" w:rsidRDefault="00166987" w:rsidP="003A5991">
      <w:pPr>
        <w:spacing w:line="240" w:lineRule="auto"/>
        <w:rPr>
          <w:sz w:val="20"/>
          <w:szCs w:val="20"/>
        </w:rPr>
      </w:pPr>
      <w:r w:rsidRPr="00B14DD3">
        <w:rPr>
          <w:sz w:val="20"/>
          <w:szCs w:val="20"/>
        </w:rPr>
        <w:t xml:space="preserve">Le parlement peut agir en faveur de la parité dans ses rangs en adoptant des lois prévoyant des mesures telles que des quotas de candidates ou des sièges réservés. Nombre de pays ont démontré que les quotas (ce qui inclut leur conception et leurs objectifs) exercent une incidence bénéfique importante sur la représentation des femmes. </w:t>
      </w:r>
    </w:p>
    <w:p w14:paraId="5FBB523F" w14:textId="77777777" w:rsidR="00FA43C1" w:rsidRPr="00B14DD3" w:rsidRDefault="00FA43C1" w:rsidP="003A5991">
      <w:pPr>
        <w:spacing w:line="240" w:lineRule="auto"/>
        <w:rPr>
          <w:sz w:val="20"/>
          <w:szCs w:val="20"/>
        </w:rPr>
      </w:pPr>
    </w:p>
    <w:p w14:paraId="304F17A6" w14:textId="77777777" w:rsidR="00FA43C1" w:rsidRPr="00B14DD3" w:rsidRDefault="00166987" w:rsidP="003A5991">
      <w:pPr>
        <w:spacing w:line="240" w:lineRule="auto"/>
        <w:rPr>
          <w:sz w:val="20"/>
          <w:szCs w:val="20"/>
        </w:rPr>
      </w:pPr>
      <w:r w:rsidRPr="00B14DD3">
        <w:rPr>
          <w:sz w:val="20"/>
          <w:szCs w:val="20"/>
        </w:rPr>
        <w:t xml:space="preserve">Le parlement joue aussi un rôle de premier plan dans la lutte contre la violence à l'encontre des femmes dans la vie politique comme dans la société. </w:t>
      </w:r>
    </w:p>
    <w:p w14:paraId="654B1032" w14:textId="77777777" w:rsidR="00FA43C1" w:rsidRPr="00B14DD3" w:rsidRDefault="00FA43C1" w:rsidP="003A5991">
      <w:pPr>
        <w:spacing w:line="240" w:lineRule="auto"/>
        <w:rPr>
          <w:sz w:val="20"/>
          <w:szCs w:val="20"/>
        </w:rPr>
      </w:pPr>
    </w:p>
    <w:p w14:paraId="1E2D4945" w14:textId="77777777" w:rsidR="00703435" w:rsidRDefault="00166987" w:rsidP="003A5991">
      <w:pPr>
        <w:spacing w:line="240" w:lineRule="auto"/>
        <w:rPr>
          <w:sz w:val="20"/>
          <w:szCs w:val="20"/>
        </w:rPr>
      </w:pPr>
      <w:r w:rsidRPr="00B14DD3">
        <w:rPr>
          <w:sz w:val="20"/>
          <w:szCs w:val="20"/>
        </w:rPr>
        <w:t xml:space="preserve">Le nombre de femmes parlementaires </w:t>
      </w:r>
      <w:r w:rsidR="00764D8B" w:rsidRPr="00B14DD3">
        <w:rPr>
          <w:sz w:val="20"/>
          <w:szCs w:val="20"/>
        </w:rPr>
        <w:t>n’</w:t>
      </w:r>
      <w:r w:rsidRPr="00B14DD3">
        <w:rPr>
          <w:sz w:val="20"/>
          <w:szCs w:val="20"/>
        </w:rPr>
        <w:t xml:space="preserve">est </w:t>
      </w:r>
      <w:r w:rsidR="00764D8B" w:rsidRPr="00B14DD3">
        <w:rPr>
          <w:sz w:val="20"/>
          <w:szCs w:val="20"/>
        </w:rPr>
        <w:t xml:space="preserve">qu’un </w:t>
      </w:r>
      <w:r w:rsidRPr="00B14DD3">
        <w:rPr>
          <w:sz w:val="20"/>
          <w:szCs w:val="20"/>
        </w:rPr>
        <w:t xml:space="preserve">critère </w:t>
      </w:r>
      <w:r w:rsidR="00764D8B" w:rsidRPr="00B14DD3">
        <w:rPr>
          <w:sz w:val="20"/>
          <w:szCs w:val="20"/>
        </w:rPr>
        <w:t xml:space="preserve">parmi tant d’autres pour </w:t>
      </w:r>
      <w:r w:rsidRPr="00B14DD3">
        <w:rPr>
          <w:sz w:val="20"/>
          <w:szCs w:val="20"/>
        </w:rPr>
        <w:t xml:space="preserve">appréhender les progrès accomplis par un parlement pour devenir une institution sensible au genre. </w:t>
      </w:r>
    </w:p>
    <w:p w14:paraId="765E2E6E" w14:textId="77777777" w:rsidR="00703435" w:rsidRDefault="00703435" w:rsidP="003A5991">
      <w:pPr>
        <w:spacing w:line="240" w:lineRule="auto"/>
        <w:rPr>
          <w:sz w:val="20"/>
          <w:szCs w:val="20"/>
        </w:rPr>
      </w:pPr>
    </w:p>
    <w:p w14:paraId="0BB946A7" w14:textId="5A1072D9" w:rsidR="00FA43C1" w:rsidRPr="00B14DD3" w:rsidRDefault="00166987" w:rsidP="003A5991">
      <w:pPr>
        <w:spacing w:line="240" w:lineRule="auto"/>
        <w:rPr>
          <w:sz w:val="20"/>
          <w:szCs w:val="20"/>
        </w:rPr>
      </w:pPr>
      <w:r w:rsidRPr="00B14DD3">
        <w:rPr>
          <w:sz w:val="20"/>
          <w:szCs w:val="20"/>
        </w:rPr>
        <w:t>Voir également l'</w:t>
      </w:r>
      <w:r w:rsidRPr="00B14DD3">
        <w:rPr>
          <w:i/>
          <w:sz w:val="20"/>
          <w:szCs w:val="20"/>
        </w:rPr>
        <w:t>aspect 5.1.</w:t>
      </w:r>
      <w:r w:rsidR="00703435">
        <w:rPr>
          <w:i/>
          <w:sz w:val="20"/>
          <w:szCs w:val="20"/>
        </w:rPr>
        <w:t>3</w:t>
      </w:r>
      <w:r w:rsidRPr="00B14DD3">
        <w:rPr>
          <w:i/>
          <w:sz w:val="20"/>
          <w:szCs w:val="20"/>
        </w:rPr>
        <w:t xml:space="preserve"> : Intégration de la dimension de genre</w:t>
      </w:r>
      <w:r w:rsidRPr="00B14DD3">
        <w:rPr>
          <w:sz w:val="20"/>
          <w:szCs w:val="20"/>
        </w:rPr>
        <w:t>, l'</w:t>
      </w:r>
      <w:r w:rsidRPr="00B14DD3">
        <w:rPr>
          <w:i/>
          <w:sz w:val="20"/>
          <w:szCs w:val="20"/>
        </w:rPr>
        <w:t>aspect 5.1.</w:t>
      </w:r>
      <w:r w:rsidR="00703435">
        <w:rPr>
          <w:i/>
          <w:sz w:val="20"/>
          <w:szCs w:val="20"/>
        </w:rPr>
        <w:t>4</w:t>
      </w:r>
      <w:r w:rsidRPr="00B14DD3">
        <w:rPr>
          <w:i/>
          <w:sz w:val="20"/>
          <w:szCs w:val="20"/>
        </w:rPr>
        <w:t> :</w:t>
      </w:r>
      <w:r w:rsidRPr="00B14DD3">
        <w:rPr>
          <w:sz w:val="20"/>
          <w:szCs w:val="20"/>
        </w:rPr>
        <w:t xml:space="preserve"> </w:t>
      </w:r>
      <w:r w:rsidRPr="00B14DD3">
        <w:rPr>
          <w:i/>
          <w:sz w:val="20"/>
          <w:szCs w:val="20"/>
        </w:rPr>
        <w:t xml:space="preserve"> </w:t>
      </w:r>
      <w:r w:rsidR="00703435">
        <w:rPr>
          <w:i/>
          <w:sz w:val="20"/>
          <w:szCs w:val="20"/>
        </w:rPr>
        <w:t>Budgétisation sensible au genre</w:t>
      </w:r>
      <w:r w:rsidR="00703435">
        <w:rPr>
          <w:iCs/>
          <w:sz w:val="20"/>
          <w:szCs w:val="20"/>
        </w:rPr>
        <w:t>, l’</w:t>
      </w:r>
      <w:r w:rsidR="00703435">
        <w:rPr>
          <w:i/>
          <w:sz w:val="20"/>
          <w:szCs w:val="20"/>
        </w:rPr>
        <w:t>aspect 5.2.3 : Lutte contre le sexisme, le harcèlement et la violence</w:t>
      </w:r>
      <w:r w:rsidR="00703435">
        <w:rPr>
          <w:iCs/>
          <w:sz w:val="20"/>
          <w:szCs w:val="20"/>
        </w:rPr>
        <w:t xml:space="preserve"> et</w:t>
      </w:r>
      <w:r w:rsidRPr="00B14DD3">
        <w:rPr>
          <w:i/>
          <w:sz w:val="20"/>
          <w:szCs w:val="20"/>
        </w:rPr>
        <w:t xml:space="preserve"> l</w:t>
      </w:r>
      <w:r w:rsidRPr="00B14DD3">
        <w:rPr>
          <w:i/>
          <w:sz w:val="20"/>
          <w:szCs w:val="20"/>
          <w:cs/>
        </w:rPr>
        <w:t>’</w:t>
      </w:r>
      <w:r w:rsidRPr="00B14DD3">
        <w:rPr>
          <w:i/>
          <w:sz w:val="20"/>
          <w:szCs w:val="20"/>
        </w:rPr>
        <w:t xml:space="preserve">aspect 7.3.3 : </w:t>
      </w:r>
      <w:r w:rsidR="00764D8B" w:rsidRPr="00B14DD3">
        <w:rPr>
          <w:i/>
          <w:sz w:val="20"/>
          <w:szCs w:val="20"/>
        </w:rPr>
        <w:t>Équilibre</w:t>
      </w:r>
      <w:r w:rsidRPr="00B14DD3">
        <w:rPr>
          <w:i/>
          <w:sz w:val="20"/>
          <w:szCs w:val="20"/>
        </w:rPr>
        <w:t xml:space="preserve"> entre les sexes et les âges dans les instances parlementaires.</w:t>
      </w:r>
    </w:p>
    <w:p w14:paraId="5DD82B24" w14:textId="77777777" w:rsidR="00FA43C1" w:rsidRPr="00B14DD3" w:rsidRDefault="00166987" w:rsidP="005348E3">
      <w:pPr>
        <w:pStyle w:val="section-title"/>
      </w:pPr>
      <w:r w:rsidRPr="00B14DD3">
        <w:t xml:space="preserve">Objectifs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14DD3" w14:paraId="5C6C33CE" w14:textId="77777777" w:rsidTr="00D507D4">
        <w:trPr>
          <w:trHeight w:val="2323"/>
        </w:trPr>
        <w:tc>
          <w:tcPr>
            <w:tcW w:w="5000" w:type="pct"/>
            <w:shd w:val="clear" w:color="auto" w:fill="EEEEEE"/>
          </w:tcPr>
          <w:p w14:paraId="48FBDFF1" w14:textId="77777777" w:rsidR="00FA43C1" w:rsidRPr="00B14DD3" w:rsidRDefault="00166987" w:rsidP="00D507D4">
            <w:pPr>
              <w:keepNext/>
              <w:spacing w:line="240" w:lineRule="auto"/>
              <w:rPr>
                <w:i/>
                <w:sz w:val="20"/>
                <w:szCs w:val="20"/>
              </w:rPr>
            </w:pPr>
            <w:r w:rsidRPr="00B14DD3">
              <w:rPr>
                <w:i/>
                <w:sz w:val="20"/>
              </w:rPr>
              <w:t>Après une analyse comparative, les parlements pourraient par exemple viser les objectifs suivants en ce qui concerne la représentation des femmes :</w:t>
            </w:r>
          </w:p>
          <w:p w14:paraId="01CAEE8E" w14:textId="77777777" w:rsidR="00FA43C1" w:rsidRPr="00B14DD3" w:rsidRDefault="00FA43C1" w:rsidP="00D507D4">
            <w:pPr>
              <w:keepNext/>
              <w:spacing w:line="240" w:lineRule="auto"/>
              <w:jc w:val="both"/>
              <w:rPr>
                <w:sz w:val="20"/>
                <w:szCs w:val="20"/>
              </w:rPr>
            </w:pPr>
          </w:p>
          <w:p w14:paraId="612E746F" w14:textId="77777777" w:rsidR="00FA43C1" w:rsidRPr="00B14DD3" w:rsidRDefault="00166987" w:rsidP="004017FC">
            <w:pPr>
              <w:keepNext/>
              <w:spacing w:line="240" w:lineRule="auto"/>
              <w:rPr>
                <w:sz w:val="20"/>
              </w:rPr>
            </w:pPr>
            <w:r w:rsidRPr="00B14DD3">
              <w:rPr>
                <w:sz w:val="20"/>
              </w:rPr>
              <w:t xml:space="preserve">La composition du parlement respecte la parité. </w:t>
            </w:r>
          </w:p>
          <w:p w14:paraId="4E359EAB" w14:textId="77777777" w:rsidR="00FA43C1" w:rsidRPr="00B14DD3" w:rsidRDefault="00FA43C1" w:rsidP="004017FC">
            <w:pPr>
              <w:keepNext/>
              <w:spacing w:line="240" w:lineRule="auto"/>
              <w:rPr>
                <w:sz w:val="20"/>
              </w:rPr>
            </w:pPr>
          </w:p>
          <w:p w14:paraId="7A14D684" w14:textId="77777777" w:rsidR="00FA43C1" w:rsidRPr="00B14DD3" w:rsidRDefault="00166987" w:rsidP="004017FC">
            <w:pPr>
              <w:keepNext/>
              <w:spacing w:line="240" w:lineRule="auto"/>
              <w:rPr>
                <w:sz w:val="20"/>
              </w:rPr>
            </w:pPr>
            <w:r w:rsidRPr="00B14DD3">
              <w:rPr>
                <w:sz w:val="20"/>
              </w:rPr>
              <w:t>Le cadre juridique garantit la participation politique des femmes et promeut la représentation égale des femmes et des hommes au parlement.</w:t>
            </w:r>
          </w:p>
          <w:p w14:paraId="0C768256" w14:textId="77777777" w:rsidR="00FA43C1" w:rsidRPr="00B14DD3" w:rsidRDefault="00FA43C1" w:rsidP="00D507D4">
            <w:pPr>
              <w:keepNext/>
              <w:spacing w:line="240" w:lineRule="auto"/>
              <w:rPr>
                <w:sz w:val="20"/>
                <w:szCs w:val="20"/>
              </w:rPr>
            </w:pPr>
          </w:p>
          <w:p w14:paraId="3972E4CD" w14:textId="77777777" w:rsidR="00FA43C1" w:rsidRPr="00B14DD3" w:rsidRDefault="00166987" w:rsidP="00D507D4">
            <w:pPr>
              <w:keepNext/>
              <w:spacing w:line="240" w:lineRule="auto"/>
              <w:rPr>
                <w:sz w:val="20"/>
                <w:szCs w:val="20"/>
              </w:rPr>
            </w:pPr>
            <w:r w:rsidRPr="00B14DD3">
              <w:rPr>
                <w:sz w:val="20"/>
              </w:rPr>
              <w:t>Le parlement a adopté des mesures législatives et autres visant à faire augmenter la représentation des femmes dans son enceinte.</w:t>
            </w:r>
          </w:p>
          <w:p w14:paraId="07C051DC" w14:textId="77777777" w:rsidR="00FA43C1" w:rsidRPr="00B14DD3" w:rsidRDefault="00FA43C1" w:rsidP="00D507D4">
            <w:pPr>
              <w:keepNext/>
              <w:spacing w:line="240" w:lineRule="auto"/>
              <w:rPr>
                <w:sz w:val="20"/>
                <w:szCs w:val="20"/>
              </w:rPr>
            </w:pPr>
          </w:p>
          <w:p w14:paraId="7811200A" w14:textId="77777777" w:rsidR="00FA43C1" w:rsidRPr="00B14DD3" w:rsidRDefault="00166987" w:rsidP="00D507D4">
            <w:pPr>
              <w:keepNext/>
              <w:spacing w:line="240" w:lineRule="auto"/>
              <w:rPr>
                <w:sz w:val="20"/>
              </w:rPr>
            </w:pPr>
            <w:r w:rsidRPr="00B14DD3">
              <w:rPr>
                <w:sz w:val="20"/>
              </w:rPr>
              <w:t xml:space="preserve">Des mesures législatives et politiques sont prises pour lutter contre la violence à l'encontre des femmes engagées en politique, qu'elles soient candidates ou élues, et la prévenir. </w:t>
            </w:r>
          </w:p>
          <w:p w14:paraId="44070589" w14:textId="77777777" w:rsidR="00FA43C1" w:rsidRPr="00B14DD3" w:rsidRDefault="00FA43C1" w:rsidP="003E6472">
            <w:pPr>
              <w:keepNext/>
              <w:spacing w:line="240" w:lineRule="auto"/>
              <w:rPr>
                <w:color w:val="005F9A"/>
                <w:sz w:val="20"/>
                <w:szCs w:val="20"/>
              </w:rPr>
            </w:pPr>
          </w:p>
        </w:tc>
      </w:tr>
    </w:tbl>
    <w:p w14:paraId="3E0C5A46" w14:textId="77777777" w:rsidR="00FA43C1" w:rsidRPr="00B14DD3" w:rsidRDefault="00166987" w:rsidP="005348E3">
      <w:pPr>
        <w:pStyle w:val="section-title"/>
      </w:pPr>
      <w:bookmarkStart w:id="12" w:name="_44sinio"/>
      <w:bookmarkEnd w:id="12"/>
      <w:r w:rsidRPr="00B14DD3">
        <w:t>Évaluation</w:t>
      </w:r>
    </w:p>
    <w:p w14:paraId="7AF0139B" w14:textId="77777777" w:rsidR="00FA43C1" w:rsidRPr="00B14DD3" w:rsidRDefault="00166987" w:rsidP="003A5991">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72D1BE4" w14:textId="77777777" w:rsidR="00FA43C1" w:rsidRPr="00B14DD3" w:rsidRDefault="00166987" w:rsidP="003A5991">
      <w:pPr>
        <w:spacing w:before="200" w:line="240" w:lineRule="auto"/>
        <w:rPr>
          <w:sz w:val="20"/>
          <w:szCs w:val="20"/>
        </w:rPr>
      </w:pPr>
      <w:r w:rsidRPr="00B14DD3">
        <w:rPr>
          <w:sz w:val="20"/>
        </w:rPr>
        <w:t>Exemples d'éléments permettant d'étayer l'évaluation :</w:t>
      </w:r>
    </w:p>
    <w:p w14:paraId="4893D9F6" w14:textId="77777777" w:rsidR="00FA43C1" w:rsidRPr="00B14DD3" w:rsidRDefault="00FA43C1" w:rsidP="00D507D4">
      <w:pPr>
        <w:spacing w:line="240" w:lineRule="auto"/>
        <w:rPr>
          <w:sz w:val="20"/>
          <w:szCs w:val="20"/>
        </w:rPr>
      </w:pPr>
    </w:p>
    <w:p w14:paraId="6B1D8DED" w14:textId="77777777" w:rsidR="00FA43C1" w:rsidRPr="00B14DD3" w:rsidRDefault="00166987" w:rsidP="00D507D4">
      <w:pPr>
        <w:numPr>
          <w:ilvl w:val="0"/>
          <w:numId w:val="12"/>
        </w:numPr>
        <w:spacing w:line="240" w:lineRule="auto"/>
        <w:ind w:left="562" w:hanging="562"/>
        <w:rPr>
          <w:sz w:val="20"/>
          <w:szCs w:val="20"/>
        </w:rPr>
      </w:pPr>
      <w:r w:rsidRPr="00B14DD3">
        <w:rPr>
          <w:sz w:val="20"/>
        </w:rPr>
        <w:lastRenderedPageBreak/>
        <w:t>Nombre de femmes et d'homme détenant un siège parlementaire, actuellement ou dans un passé récent, et ventilation par sexe des postes à responsabilités au parlement</w:t>
      </w:r>
    </w:p>
    <w:p w14:paraId="67DABBF3" w14:textId="77777777" w:rsidR="00FA43C1" w:rsidRPr="00B14DD3" w:rsidRDefault="00166987" w:rsidP="00D507D4">
      <w:pPr>
        <w:numPr>
          <w:ilvl w:val="0"/>
          <w:numId w:val="12"/>
        </w:numPr>
        <w:spacing w:line="240" w:lineRule="auto"/>
        <w:ind w:left="562" w:hanging="562"/>
        <w:rPr>
          <w:sz w:val="20"/>
          <w:szCs w:val="20"/>
        </w:rPr>
      </w:pPr>
      <w:r w:rsidRPr="00B14DD3">
        <w:rPr>
          <w:sz w:val="20"/>
        </w:rPr>
        <w:t xml:space="preserve">Dispositions de la Constitution ou autres éléments du cadre juridique soulignant l'importance de la participation politique égale des femmes </w:t>
      </w:r>
    </w:p>
    <w:p w14:paraId="4D69470C" w14:textId="77777777" w:rsidR="00FA43C1" w:rsidRPr="00B14DD3" w:rsidRDefault="00166987" w:rsidP="00D507D4">
      <w:pPr>
        <w:numPr>
          <w:ilvl w:val="0"/>
          <w:numId w:val="12"/>
        </w:numPr>
        <w:spacing w:line="240" w:lineRule="auto"/>
        <w:ind w:left="562" w:hanging="562"/>
        <w:rPr>
          <w:sz w:val="20"/>
          <w:szCs w:val="20"/>
        </w:rPr>
      </w:pPr>
      <w:r w:rsidRPr="00B14DD3">
        <w:rPr>
          <w:sz w:val="20"/>
        </w:rPr>
        <w:t xml:space="preserve">Dispositions de la législation, notamment électorale, visant à promouvoir l'équilibre entre les sexes, par exemple quotas d'hommes et de femmes au parlement </w:t>
      </w:r>
    </w:p>
    <w:p w14:paraId="5AD7752B" w14:textId="77777777" w:rsidR="00FA43C1" w:rsidRPr="00B14DD3" w:rsidRDefault="00166987" w:rsidP="00D507D4">
      <w:pPr>
        <w:numPr>
          <w:ilvl w:val="0"/>
          <w:numId w:val="12"/>
        </w:numPr>
        <w:spacing w:line="240" w:lineRule="auto"/>
        <w:ind w:left="562" w:hanging="562"/>
        <w:rPr>
          <w:sz w:val="20"/>
          <w:szCs w:val="20"/>
        </w:rPr>
      </w:pPr>
      <w:r w:rsidRPr="00B14DD3">
        <w:rPr>
          <w:sz w:val="20"/>
        </w:rPr>
        <w:t>Rapports de commissions parlementaires contenant des recommandations d'amender ou de réviser des lois afin d'accroître la représentation politique des femmes</w:t>
      </w:r>
    </w:p>
    <w:p w14:paraId="16B6DC59" w14:textId="77777777" w:rsidR="00FA43C1" w:rsidRPr="00B14DD3" w:rsidRDefault="00166987" w:rsidP="00D507D4">
      <w:pPr>
        <w:numPr>
          <w:ilvl w:val="0"/>
          <w:numId w:val="12"/>
        </w:numPr>
        <w:spacing w:line="240" w:lineRule="auto"/>
        <w:ind w:left="562" w:hanging="562"/>
        <w:rPr>
          <w:sz w:val="20"/>
          <w:szCs w:val="20"/>
        </w:rPr>
      </w:pPr>
      <w:r w:rsidRPr="00B14DD3">
        <w:rPr>
          <w:sz w:val="20"/>
        </w:rPr>
        <w:t>Lois et politiques visant à lutter contre la violence à l'encontre des femmes dans la vie politique</w:t>
      </w:r>
    </w:p>
    <w:p w14:paraId="00300120" w14:textId="77777777" w:rsidR="00FA43C1" w:rsidRPr="00B14DD3" w:rsidRDefault="00FA43C1" w:rsidP="003A5991">
      <w:pPr>
        <w:spacing w:line="240" w:lineRule="auto"/>
        <w:rPr>
          <w:sz w:val="20"/>
          <w:szCs w:val="20"/>
        </w:rPr>
      </w:pPr>
    </w:p>
    <w:p w14:paraId="4CA7E458" w14:textId="77777777" w:rsidR="00FA43C1" w:rsidRPr="00B14DD3" w:rsidRDefault="00166987" w:rsidP="003A5991">
      <w:pPr>
        <w:spacing w:line="240" w:lineRule="auto"/>
        <w:rPr>
          <w:sz w:val="20"/>
          <w:szCs w:val="20"/>
        </w:rPr>
      </w:pPr>
      <w:r w:rsidRPr="00B14DD3">
        <w:rPr>
          <w:sz w:val="20"/>
        </w:rPr>
        <w:t>Le cas échéant, merci de bien vouloir communiquer des observations ou exemples supplémentaires pour étayer l'évaluation.</w:t>
      </w:r>
    </w:p>
    <w:p w14:paraId="5FEFD4E4" w14:textId="77777777" w:rsidR="00FA43C1" w:rsidRPr="00B14DD3" w:rsidRDefault="00FA43C1" w:rsidP="003A5991">
      <w:pPr>
        <w:spacing w:line="240" w:lineRule="auto"/>
        <w:rPr>
          <w:sz w:val="20"/>
          <w:szCs w:val="20"/>
        </w:rPr>
      </w:pPr>
    </w:p>
    <w:p w14:paraId="0EC71DA7" w14:textId="77777777" w:rsidR="00FA43C1" w:rsidRPr="00B14DD3" w:rsidRDefault="00166987" w:rsidP="00E0404A">
      <w:pPr>
        <w:pStyle w:val="Titre4"/>
      </w:pPr>
      <w:bookmarkStart w:id="13" w:name="_2jxsxqh"/>
      <w:bookmarkStart w:id="14" w:name="_z337ya"/>
      <w:bookmarkStart w:id="15" w:name="_2091krtcog9n"/>
      <w:bookmarkEnd w:id="13"/>
      <w:bookmarkEnd w:id="14"/>
      <w:bookmarkEnd w:id="15"/>
      <w:r w:rsidRPr="00B14DD3">
        <w:t>Critère d'évaluation n° 1 : Égalité des chances</w:t>
      </w:r>
    </w:p>
    <w:p w14:paraId="07C93596" w14:textId="51290D16" w:rsidR="00FA43C1" w:rsidRPr="00B14DD3" w:rsidRDefault="00166987" w:rsidP="00383F06">
      <w:pPr>
        <w:keepNext/>
        <w:spacing w:line="240" w:lineRule="auto"/>
        <w:rPr>
          <w:sz w:val="20"/>
        </w:rPr>
      </w:pPr>
      <w:bookmarkStart w:id="16" w:name="_3j2qqm3"/>
      <w:bookmarkEnd w:id="16"/>
      <w:r w:rsidRPr="00B14DD3">
        <w:rPr>
          <w:sz w:val="20"/>
        </w:rPr>
        <w:t xml:space="preserve">Le cadre juridique garantit l'égalité des chances en matière de </w:t>
      </w:r>
      <w:r w:rsidR="00A026F4" w:rsidRPr="00B14DD3">
        <w:rPr>
          <w:sz w:val="20"/>
        </w:rPr>
        <w:t xml:space="preserve">représentation </w:t>
      </w:r>
      <w:r w:rsidRPr="00B14DD3">
        <w:rPr>
          <w:sz w:val="20"/>
        </w:rPr>
        <w:t xml:space="preserve">politique des femmes et des hommes au parlement. </w:t>
      </w:r>
    </w:p>
    <w:p w14:paraId="4D196B85"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507D4" w:rsidRPr="00B14DD3" w14:paraId="7B2FE3BA"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3EB7B6" w14:textId="77777777" w:rsidR="00FA43C1" w:rsidRPr="00B14DD3" w:rsidRDefault="00166987">
            <w:pPr>
              <w:jc w:val="center"/>
              <w:rPr>
                <w:rFonts w:eastAsia="Calibri"/>
                <w:sz w:val="20"/>
                <w:szCs w:val="20"/>
              </w:rPr>
            </w:pPr>
            <w:r w:rsidRPr="00B14DD3">
              <w:rPr>
                <w:sz w:val="20"/>
              </w:rPr>
              <w:t>Néant</w:t>
            </w:r>
          </w:p>
          <w:p w14:paraId="781ABE9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0FBD1E" w14:textId="77777777" w:rsidR="00FA43C1" w:rsidRPr="00B14DD3" w:rsidRDefault="00166987">
            <w:pPr>
              <w:jc w:val="center"/>
              <w:rPr>
                <w:rFonts w:eastAsia="Calibri"/>
                <w:sz w:val="20"/>
                <w:szCs w:val="20"/>
              </w:rPr>
            </w:pPr>
            <w:r w:rsidRPr="00B14DD3">
              <w:rPr>
                <w:sz w:val="20"/>
              </w:rPr>
              <w:t xml:space="preserve">Médiocre </w:t>
            </w:r>
          </w:p>
          <w:p w14:paraId="37D6FC5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9B8AA5" w14:textId="77777777" w:rsidR="00FA43C1" w:rsidRPr="00B14DD3" w:rsidRDefault="00166987">
            <w:pPr>
              <w:jc w:val="center"/>
              <w:rPr>
                <w:rFonts w:eastAsia="Calibri"/>
                <w:sz w:val="20"/>
                <w:szCs w:val="20"/>
              </w:rPr>
            </w:pPr>
            <w:r w:rsidRPr="00B14DD3">
              <w:rPr>
                <w:sz w:val="20"/>
              </w:rPr>
              <w:t>Moyen</w:t>
            </w:r>
          </w:p>
          <w:p w14:paraId="6322AB24"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0C5DB1" w14:textId="77777777" w:rsidR="00FA43C1" w:rsidRPr="00B14DD3" w:rsidRDefault="00166987">
            <w:pPr>
              <w:jc w:val="center"/>
              <w:rPr>
                <w:rFonts w:eastAsia="Calibri"/>
                <w:sz w:val="20"/>
                <w:szCs w:val="20"/>
              </w:rPr>
            </w:pPr>
            <w:r w:rsidRPr="00B14DD3">
              <w:rPr>
                <w:sz w:val="20"/>
              </w:rPr>
              <w:t>Bon</w:t>
            </w:r>
          </w:p>
          <w:p w14:paraId="2973326F"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628BB7" w14:textId="77777777" w:rsidR="00FA43C1" w:rsidRPr="00B14DD3" w:rsidRDefault="00166987">
            <w:pPr>
              <w:jc w:val="center"/>
              <w:rPr>
                <w:rFonts w:eastAsia="Calibri"/>
                <w:sz w:val="20"/>
                <w:szCs w:val="20"/>
              </w:rPr>
            </w:pPr>
            <w:r w:rsidRPr="00B14DD3">
              <w:rPr>
                <w:sz w:val="20"/>
              </w:rPr>
              <w:t>Très bon</w:t>
            </w:r>
          </w:p>
          <w:p w14:paraId="3696B89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340272" w14:textId="77777777" w:rsidR="00FA43C1" w:rsidRPr="00B14DD3" w:rsidRDefault="00166987">
            <w:pPr>
              <w:jc w:val="center"/>
              <w:rPr>
                <w:rFonts w:eastAsia="Calibri"/>
                <w:sz w:val="20"/>
                <w:szCs w:val="20"/>
              </w:rPr>
            </w:pPr>
            <w:r w:rsidRPr="00B14DD3">
              <w:rPr>
                <w:sz w:val="20"/>
              </w:rPr>
              <w:t>Excellent</w:t>
            </w:r>
          </w:p>
          <w:p w14:paraId="194EB2D9"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D507D4" w:rsidRPr="00B14DD3" w14:paraId="3C13200B"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05FE9" w14:textId="77777777" w:rsidR="00FA43C1" w:rsidRPr="00B14DD3" w:rsidRDefault="00166987">
            <w:pPr>
              <w:rPr>
                <w:rFonts w:eastAsia="Calibri"/>
                <w:color w:val="005F9A"/>
                <w:sz w:val="20"/>
                <w:szCs w:val="20"/>
              </w:rPr>
            </w:pPr>
            <w:r w:rsidRPr="00B14DD3">
              <w:rPr>
                <w:color w:val="005F9A"/>
                <w:sz w:val="20"/>
              </w:rPr>
              <w:t>Éléments à l'appui de l'évaluation :</w:t>
            </w:r>
          </w:p>
          <w:p w14:paraId="7BAC6BE5" w14:textId="77777777" w:rsidR="00FA43C1" w:rsidRPr="00B14DD3" w:rsidRDefault="00FA43C1">
            <w:pPr>
              <w:rPr>
                <w:rFonts w:eastAsia="Calibri"/>
                <w:color w:val="0000FF"/>
                <w:sz w:val="20"/>
                <w:szCs w:val="20"/>
              </w:rPr>
            </w:pPr>
          </w:p>
          <w:p w14:paraId="20B432F2" w14:textId="77777777" w:rsidR="00FA43C1" w:rsidRPr="00B14DD3" w:rsidRDefault="00FA43C1">
            <w:pPr>
              <w:rPr>
                <w:rFonts w:eastAsia="Calibri"/>
                <w:color w:val="0000FF"/>
                <w:sz w:val="20"/>
                <w:szCs w:val="20"/>
              </w:rPr>
            </w:pPr>
          </w:p>
        </w:tc>
      </w:tr>
    </w:tbl>
    <w:p w14:paraId="44C10D54" w14:textId="77777777" w:rsidR="00FA43C1" w:rsidRPr="00B14DD3" w:rsidRDefault="00166987" w:rsidP="00E0404A">
      <w:pPr>
        <w:pStyle w:val="Titre4"/>
      </w:pPr>
      <w:bookmarkStart w:id="17" w:name="_dmd9i2qmcma5"/>
      <w:bookmarkEnd w:id="17"/>
      <w:r w:rsidRPr="00B14DD3">
        <w:t xml:space="preserve">Critère d'évaluation n° 2 : Mesures visant à accroître la représentation des femmes </w:t>
      </w:r>
    </w:p>
    <w:p w14:paraId="3D29265C" w14:textId="77777777" w:rsidR="00FA43C1" w:rsidRPr="00B14DD3" w:rsidRDefault="00166987" w:rsidP="003A5991">
      <w:pPr>
        <w:spacing w:line="240" w:lineRule="auto"/>
        <w:rPr>
          <w:sz w:val="20"/>
          <w:szCs w:val="20"/>
        </w:rPr>
      </w:pPr>
      <w:r w:rsidRPr="00B14DD3">
        <w:rPr>
          <w:sz w:val="20"/>
        </w:rPr>
        <w:t>Le parlement a adopté des mesures législatives et autres visant à accroître la représentation des femmes dans son enceinte, notamment des quotas.</w:t>
      </w:r>
    </w:p>
    <w:p w14:paraId="6EB15EE7"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507D4" w:rsidRPr="00B14DD3" w14:paraId="6EEBD51F"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92A8B3" w14:textId="77777777" w:rsidR="00FA43C1" w:rsidRPr="00B14DD3" w:rsidRDefault="00166987">
            <w:pPr>
              <w:jc w:val="center"/>
              <w:rPr>
                <w:rFonts w:eastAsia="Calibri"/>
                <w:sz w:val="20"/>
                <w:szCs w:val="20"/>
              </w:rPr>
            </w:pPr>
            <w:r w:rsidRPr="00B14DD3">
              <w:rPr>
                <w:sz w:val="20"/>
              </w:rPr>
              <w:t>Néant</w:t>
            </w:r>
          </w:p>
          <w:p w14:paraId="065E9A5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53E819" w14:textId="77777777" w:rsidR="00FA43C1" w:rsidRPr="00B14DD3" w:rsidRDefault="00166987">
            <w:pPr>
              <w:jc w:val="center"/>
              <w:rPr>
                <w:rFonts w:eastAsia="Calibri"/>
                <w:sz w:val="20"/>
                <w:szCs w:val="20"/>
              </w:rPr>
            </w:pPr>
            <w:r w:rsidRPr="00B14DD3">
              <w:rPr>
                <w:sz w:val="20"/>
              </w:rPr>
              <w:t xml:space="preserve">Médiocre </w:t>
            </w:r>
          </w:p>
          <w:p w14:paraId="0BFC07E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C74C3B" w14:textId="77777777" w:rsidR="00FA43C1" w:rsidRPr="00B14DD3" w:rsidRDefault="00166987">
            <w:pPr>
              <w:jc w:val="center"/>
              <w:rPr>
                <w:rFonts w:eastAsia="Calibri"/>
                <w:sz w:val="20"/>
                <w:szCs w:val="20"/>
              </w:rPr>
            </w:pPr>
            <w:r w:rsidRPr="00B14DD3">
              <w:rPr>
                <w:sz w:val="20"/>
              </w:rPr>
              <w:t>Moyen</w:t>
            </w:r>
          </w:p>
          <w:p w14:paraId="1EC4593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9E5389" w14:textId="77777777" w:rsidR="00FA43C1" w:rsidRPr="00B14DD3" w:rsidRDefault="00166987">
            <w:pPr>
              <w:jc w:val="center"/>
              <w:rPr>
                <w:rFonts w:eastAsia="Calibri"/>
                <w:sz w:val="20"/>
                <w:szCs w:val="20"/>
              </w:rPr>
            </w:pPr>
            <w:r w:rsidRPr="00B14DD3">
              <w:rPr>
                <w:sz w:val="20"/>
              </w:rPr>
              <w:t>Bon</w:t>
            </w:r>
          </w:p>
          <w:p w14:paraId="6DF7AB7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793E35" w14:textId="77777777" w:rsidR="00FA43C1" w:rsidRPr="00B14DD3" w:rsidRDefault="00166987">
            <w:pPr>
              <w:jc w:val="center"/>
              <w:rPr>
                <w:rFonts w:eastAsia="Calibri"/>
                <w:sz w:val="20"/>
                <w:szCs w:val="20"/>
              </w:rPr>
            </w:pPr>
            <w:r w:rsidRPr="00B14DD3">
              <w:rPr>
                <w:sz w:val="20"/>
              </w:rPr>
              <w:t>Très bon</w:t>
            </w:r>
          </w:p>
          <w:p w14:paraId="3354529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4F154CE" w14:textId="77777777" w:rsidR="00FA43C1" w:rsidRPr="00B14DD3" w:rsidRDefault="00166987">
            <w:pPr>
              <w:jc w:val="center"/>
              <w:rPr>
                <w:rFonts w:eastAsia="Calibri"/>
                <w:sz w:val="20"/>
                <w:szCs w:val="20"/>
              </w:rPr>
            </w:pPr>
            <w:r w:rsidRPr="00B14DD3">
              <w:rPr>
                <w:sz w:val="20"/>
              </w:rPr>
              <w:t>Excellent</w:t>
            </w:r>
          </w:p>
          <w:p w14:paraId="794F368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D507D4" w:rsidRPr="00B14DD3" w14:paraId="446128BA"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BFEAB" w14:textId="77777777" w:rsidR="00FA43C1" w:rsidRPr="00B14DD3" w:rsidRDefault="00166987">
            <w:pPr>
              <w:rPr>
                <w:rFonts w:eastAsia="Calibri"/>
                <w:color w:val="005F9A"/>
                <w:sz w:val="20"/>
                <w:szCs w:val="20"/>
              </w:rPr>
            </w:pPr>
            <w:r w:rsidRPr="00B14DD3">
              <w:rPr>
                <w:color w:val="005F9A"/>
                <w:sz w:val="20"/>
              </w:rPr>
              <w:t>Éléments à l'appui de l'évaluation :</w:t>
            </w:r>
          </w:p>
          <w:p w14:paraId="2C45E26E" w14:textId="77777777" w:rsidR="00FA43C1" w:rsidRPr="00B14DD3" w:rsidRDefault="00FA43C1">
            <w:pPr>
              <w:rPr>
                <w:rFonts w:eastAsia="Calibri"/>
                <w:color w:val="0000FF"/>
                <w:sz w:val="20"/>
                <w:szCs w:val="20"/>
              </w:rPr>
            </w:pPr>
          </w:p>
          <w:p w14:paraId="100C568D" w14:textId="77777777" w:rsidR="00FA43C1" w:rsidRPr="00B14DD3" w:rsidRDefault="00FA43C1">
            <w:pPr>
              <w:rPr>
                <w:rFonts w:eastAsia="Calibri"/>
                <w:color w:val="0000FF"/>
                <w:sz w:val="20"/>
                <w:szCs w:val="20"/>
              </w:rPr>
            </w:pPr>
          </w:p>
        </w:tc>
      </w:tr>
    </w:tbl>
    <w:p w14:paraId="5E6448AD" w14:textId="61E251B4" w:rsidR="00FA43C1" w:rsidRPr="00B14DD3" w:rsidRDefault="00166987" w:rsidP="00E0404A">
      <w:pPr>
        <w:pStyle w:val="Titre4"/>
      </w:pPr>
      <w:bookmarkStart w:id="18" w:name="_1y810tw"/>
      <w:bookmarkEnd w:id="18"/>
      <w:r w:rsidRPr="00B14DD3">
        <w:t>Critère d'évaluation n° 3 : Violence à l</w:t>
      </w:r>
      <w:r w:rsidRPr="00B14DD3">
        <w:rPr>
          <w:cs/>
        </w:rPr>
        <w:t>’</w:t>
      </w:r>
      <w:r w:rsidRPr="00B14DD3">
        <w:t xml:space="preserve">encontre des femmes </w:t>
      </w:r>
      <w:r w:rsidR="00EC11C2">
        <w:t xml:space="preserve">engagées en </w:t>
      </w:r>
      <w:r w:rsidRPr="00B14DD3">
        <w:t>politique</w:t>
      </w:r>
    </w:p>
    <w:p w14:paraId="4844FE46" w14:textId="77777777" w:rsidR="00FA43C1" w:rsidRPr="00B14DD3" w:rsidRDefault="00166987" w:rsidP="003E6472">
      <w:pPr>
        <w:keepNext/>
        <w:spacing w:line="240" w:lineRule="auto"/>
        <w:rPr>
          <w:sz w:val="20"/>
        </w:rPr>
      </w:pPr>
      <w:r w:rsidRPr="00B14DD3">
        <w:rPr>
          <w:sz w:val="20"/>
        </w:rPr>
        <w:t xml:space="preserve">Des mesures législatives et politiques sont prises pour lutter contre la violence à l'encontre des femmes engagées en politique, qu'elles soient candidates ou élues, et la prévenir. </w:t>
      </w:r>
    </w:p>
    <w:p w14:paraId="19DB8CB6"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507D4" w:rsidRPr="00B14DD3" w14:paraId="2276FE2A"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B1EE52" w14:textId="77777777" w:rsidR="00FA43C1" w:rsidRPr="00B14DD3" w:rsidRDefault="00166987">
            <w:pPr>
              <w:jc w:val="center"/>
              <w:rPr>
                <w:rFonts w:eastAsia="Calibri"/>
                <w:sz w:val="20"/>
                <w:szCs w:val="20"/>
              </w:rPr>
            </w:pPr>
            <w:r w:rsidRPr="00B14DD3">
              <w:rPr>
                <w:sz w:val="20"/>
              </w:rPr>
              <w:t>Néant</w:t>
            </w:r>
          </w:p>
          <w:p w14:paraId="43108F3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52F922" w14:textId="77777777" w:rsidR="00FA43C1" w:rsidRPr="00B14DD3" w:rsidRDefault="00166987">
            <w:pPr>
              <w:jc w:val="center"/>
              <w:rPr>
                <w:rFonts w:eastAsia="Calibri"/>
                <w:sz w:val="20"/>
                <w:szCs w:val="20"/>
              </w:rPr>
            </w:pPr>
            <w:r w:rsidRPr="00B14DD3">
              <w:rPr>
                <w:sz w:val="20"/>
              </w:rPr>
              <w:t xml:space="preserve">Médiocre </w:t>
            </w:r>
          </w:p>
          <w:p w14:paraId="232C8A7C"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C977B5" w14:textId="77777777" w:rsidR="00FA43C1" w:rsidRPr="00B14DD3" w:rsidRDefault="00166987">
            <w:pPr>
              <w:jc w:val="center"/>
              <w:rPr>
                <w:rFonts w:eastAsia="Calibri"/>
                <w:sz w:val="20"/>
                <w:szCs w:val="20"/>
              </w:rPr>
            </w:pPr>
            <w:r w:rsidRPr="00B14DD3">
              <w:rPr>
                <w:sz w:val="20"/>
              </w:rPr>
              <w:t>Moyen</w:t>
            </w:r>
          </w:p>
          <w:p w14:paraId="1202519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00EAFD" w14:textId="77777777" w:rsidR="00FA43C1" w:rsidRPr="00B14DD3" w:rsidRDefault="00166987">
            <w:pPr>
              <w:jc w:val="center"/>
              <w:rPr>
                <w:rFonts w:eastAsia="Calibri"/>
                <w:sz w:val="20"/>
                <w:szCs w:val="20"/>
              </w:rPr>
            </w:pPr>
            <w:r w:rsidRPr="00B14DD3">
              <w:rPr>
                <w:sz w:val="20"/>
              </w:rPr>
              <w:t>Bon</w:t>
            </w:r>
          </w:p>
          <w:p w14:paraId="0443E3A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8114F9" w14:textId="77777777" w:rsidR="00FA43C1" w:rsidRPr="00B14DD3" w:rsidRDefault="00166987">
            <w:pPr>
              <w:jc w:val="center"/>
              <w:rPr>
                <w:rFonts w:eastAsia="Calibri"/>
                <w:sz w:val="20"/>
                <w:szCs w:val="20"/>
              </w:rPr>
            </w:pPr>
            <w:r w:rsidRPr="00B14DD3">
              <w:rPr>
                <w:sz w:val="20"/>
              </w:rPr>
              <w:t>Très bon</w:t>
            </w:r>
          </w:p>
          <w:p w14:paraId="620E5ABD"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BBBED09" w14:textId="77777777" w:rsidR="00FA43C1" w:rsidRPr="00B14DD3" w:rsidRDefault="00166987">
            <w:pPr>
              <w:jc w:val="center"/>
              <w:rPr>
                <w:rFonts w:eastAsia="Calibri"/>
                <w:sz w:val="20"/>
                <w:szCs w:val="20"/>
              </w:rPr>
            </w:pPr>
            <w:r w:rsidRPr="00B14DD3">
              <w:rPr>
                <w:sz w:val="20"/>
              </w:rPr>
              <w:t>Excellent</w:t>
            </w:r>
          </w:p>
          <w:p w14:paraId="53814D1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D507D4" w:rsidRPr="00B14DD3" w14:paraId="242D60B6"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15B70" w14:textId="77777777" w:rsidR="00FA43C1" w:rsidRPr="00B14DD3" w:rsidRDefault="00166987">
            <w:pPr>
              <w:rPr>
                <w:rFonts w:eastAsia="Calibri"/>
                <w:color w:val="005F9A"/>
                <w:sz w:val="20"/>
                <w:szCs w:val="20"/>
              </w:rPr>
            </w:pPr>
            <w:r w:rsidRPr="00B14DD3">
              <w:rPr>
                <w:color w:val="005F9A"/>
                <w:sz w:val="20"/>
              </w:rPr>
              <w:t>Éléments à l'appui de l'évaluation :</w:t>
            </w:r>
          </w:p>
          <w:p w14:paraId="311DAAC9" w14:textId="77777777" w:rsidR="00FA43C1" w:rsidRPr="00B14DD3" w:rsidRDefault="00FA43C1">
            <w:pPr>
              <w:rPr>
                <w:rFonts w:eastAsia="Calibri"/>
                <w:color w:val="0000FF"/>
                <w:sz w:val="20"/>
                <w:szCs w:val="20"/>
              </w:rPr>
            </w:pPr>
          </w:p>
          <w:p w14:paraId="5A2DA55A" w14:textId="77777777" w:rsidR="00FA43C1" w:rsidRPr="00B14DD3" w:rsidRDefault="00FA43C1">
            <w:pPr>
              <w:rPr>
                <w:rFonts w:eastAsia="Calibri"/>
                <w:color w:val="0000FF"/>
                <w:sz w:val="20"/>
                <w:szCs w:val="20"/>
              </w:rPr>
            </w:pPr>
          </w:p>
        </w:tc>
      </w:tr>
    </w:tbl>
    <w:p w14:paraId="7BE3F8FC" w14:textId="77777777" w:rsidR="00FA43C1" w:rsidRPr="00B14DD3" w:rsidRDefault="00166987" w:rsidP="00E0404A">
      <w:pPr>
        <w:pStyle w:val="Titre4"/>
      </w:pPr>
      <w:bookmarkStart w:id="19" w:name="_2xcytpi"/>
      <w:bookmarkEnd w:id="19"/>
      <w:r w:rsidRPr="00B14DD3">
        <w:t xml:space="preserve">Critère d'évaluation n° 4 : Pratique </w:t>
      </w:r>
    </w:p>
    <w:p w14:paraId="73D3D7B3" w14:textId="5B0AF315" w:rsidR="00FA43C1" w:rsidRPr="00B14DD3" w:rsidRDefault="00166987" w:rsidP="00366593">
      <w:pPr>
        <w:spacing w:line="240" w:lineRule="auto"/>
        <w:rPr>
          <w:sz w:val="20"/>
        </w:rPr>
      </w:pPr>
      <w:r w:rsidRPr="00B14DD3">
        <w:rPr>
          <w:sz w:val="20"/>
        </w:rPr>
        <w:t xml:space="preserve">Dans la pratique, des progrès réguliers sont accomplis en matière de parité au parlement et d'élimination de la violence à l'encontre des femmes </w:t>
      </w:r>
      <w:r w:rsidR="00EC11C2">
        <w:rPr>
          <w:sz w:val="20"/>
        </w:rPr>
        <w:t>engagées en</w:t>
      </w:r>
      <w:r w:rsidRPr="00B14DD3">
        <w:rPr>
          <w:sz w:val="20"/>
        </w:rPr>
        <w:t xml:space="preserve"> politique.</w:t>
      </w:r>
    </w:p>
    <w:p w14:paraId="2106ED7C" w14:textId="77777777" w:rsidR="00FA43C1" w:rsidRPr="00B14DD3" w:rsidRDefault="00FA43C1" w:rsidP="0036659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507D4" w:rsidRPr="00B14DD3" w14:paraId="3A3E26DC"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D1607A" w14:textId="77777777" w:rsidR="00FA43C1" w:rsidRPr="00B14DD3" w:rsidRDefault="00166987">
            <w:pPr>
              <w:jc w:val="center"/>
              <w:rPr>
                <w:rFonts w:eastAsia="Calibri"/>
                <w:sz w:val="20"/>
                <w:szCs w:val="20"/>
              </w:rPr>
            </w:pPr>
            <w:r w:rsidRPr="00B14DD3">
              <w:rPr>
                <w:sz w:val="20"/>
              </w:rPr>
              <w:t>Néant</w:t>
            </w:r>
          </w:p>
          <w:p w14:paraId="786EE529"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5A429D" w14:textId="77777777" w:rsidR="00FA43C1" w:rsidRPr="00B14DD3" w:rsidRDefault="00166987">
            <w:pPr>
              <w:jc w:val="center"/>
              <w:rPr>
                <w:rFonts w:eastAsia="Calibri"/>
                <w:sz w:val="20"/>
                <w:szCs w:val="20"/>
              </w:rPr>
            </w:pPr>
            <w:r w:rsidRPr="00B14DD3">
              <w:rPr>
                <w:sz w:val="20"/>
              </w:rPr>
              <w:t xml:space="preserve">Médiocre </w:t>
            </w:r>
          </w:p>
          <w:p w14:paraId="0EBA707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78EFCE" w14:textId="77777777" w:rsidR="00FA43C1" w:rsidRPr="00B14DD3" w:rsidRDefault="00166987">
            <w:pPr>
              <w:jc w:val="center"/>
              <w:rPr>
                <w:rFonts w:eastAsia="Calibri"/>
                <w:sz w:val="20"/>
                <w:szCs w:val="20"/>
              </w:rPr>
            </w:pPr>
            <w:r w:rsidRPr="00B14DD3">
              <w:rPr>
                <w:sz w:val="20"/>
              </w:rPr>
              <w:t>Moyen</w:t>
            </w:r>
          </w:p>
          <w:p w14:paraId="3794674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4A3C5F" w14:textId="77777777" w:rsidR="00FA43C1" w:rsidRPr="00B14DD3" w:rsidRDefault="00166987">
            <w:pPr>
              <w:jc w:val="center"/>
              <w:rPr>
                <w:rFonts w:eastAsia="Calibri"/>
                <w:sz w:val="20"/>
                <w:szCs w:val="20"/>
              </w:rPr>
            </w:pPr>
            <w:r w:rsidRPr="00B14DD3">
              <w:rPr>
                <w:sz w:val="20"/>
              </w:rPr>
              <w:t>Bon</w:t>
            </w:r>
          </w:p>
          <w:p w14:paraId="61FAE9D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E9DB6F" w14:textId="77777777" w:rsidR="00FA43C1" w:rsidRPr="00B14DD3" w:rsidRDefault="00166987">
            <w:pPr>
              <w:jc w:val="center"/>
              <w:rPr>
                <w:rFonts w:eastAsia="Calibri"/>
                <w:sz w:val="20"/>
                <w:szCs w:val="20"/>
              </w:rPr>
            </w:pPr>
            <w:r w:rsidRPr="00B14DD3">
              <w:rPr>
                <w:sz w:val="20"/>
              </w:rPr>
              <w:t>Très bon</w:t>
            </w:r>
          </w:p>
          <w:p w14:paraId="3394149B"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2E74BB5" w14:textId="77777777" w:rsidR="00FA43C1" w:rsidRPr="00B14DD3" w:rsidRDefault="00166987">
            <w:pPr>
              <w:jc w:val="center"/>
              <w:rPr>
                <w:rFonts w:eastAsia="Calibri"/>
                <w:sz w:val="20"/>
                <w:szCs w:val="20"/>
              </w:rPr>
            </w:pPr>
            <w:r w:rsidRPr="00B14DD3">
              <w:rPr>
                <w:sz w:val="20"/>
              </w:rPr>
              <w:t>Excellent</w:t>
            </w:r>
          </w:p>
          <w:p w14:paraId="0E5050F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D507D4" w:rsidRPr="00B14DD3" w14:paraId="0055CA31"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5A2AE" w14:textId="77777777" w:rsidR="00FA43C1" w:rsidRPr="00B14DD3" w:rsidRDefault="00166987">
            <w:pPr>
              <w:rPr>
                <w:rFonts w:eastAsia="Calibri"/>
                <w:color w:val="005F9A"/>
                <w:sz w:val="20"/>
                <w:szCs w:val="20"/>
              </w:rPr>
            </w:pPr>
            <w:r w:rsidRPr="00B14DD3">
              <w:rPr>
                <w:color w:val="005F9A"/>
                <w:sz w:val="20"/>
              </w:rPr>
              <w:t>Éléments à l'appui de l'évaluation :</w:t>
            </w:r>
          </w:p>
          <w:p w14:paraId="3F1EE878" w14:textId="77777777" w:rsidR="00FA43C1" w:rsidRPr="00B14DD3" w:rsidRDefault="00FA43C1">
            <w:pPr>
              <w:rPr>
                <w:rFonts w:eastAsia="Calibri"/>
                <w:color w:val="0000FF"/>
                <w:sz w:val="20"/>
                <w:szCs w:val="20"/>
              </w:rPr>
            </w:pPr>
          </w:p>
          <w:p w14:paraId="1FC915CB" w14:textId="77777777" w:rsidR="00FA43C1" w:rsidRPr="00B14DD3" w:rsidRDefault="00FA43C1">
            <w:pPr>
              <w:rPr>
                <w:rFonts w:eastAsia="Calibri"/>
                <w:color w:val="0000FF"/>
                <w:sz w:val="20"/>
                <w:szCs w:val="20"/>
              </w:rPr>
            </w:pPr>
          </w:p>
        </w:tc>
      </w:tr>
    </w:tbl>
    <w:p w14:paraId="763A6B2D" w14:textId="77777777" w:rsidR="00FA43C1" w:rsidRPr="00B14DD3" w:rsidRDefault="00166987" w:rsidP="005348E3">
      <w:pPr>
        <w:pStyle w:val="section-title"/>
      </w:pPr>
      <w:bookmarkStart w:id="20" w:name="_1ci93xb"/>
      <w:bookmarkStart w:id="21" w:name="_3whwml4"/>
      <w:bookmarkEnd w:id="20"/>
      <w:bookmarkEnd w:id="21"/>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D507D4" w:rsidRPr="00B14DD3" w14:paraId="27A73E12"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A2E9217" w14:textId="77777777" w:rsidR="00FA43C1" w:rsidRPr="00B14DD3" w:rsidRDefault="00166987" w:rsidP="002C74AC">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5604F77A" w14:textId="77777777" w:rsidR="00FA43C1" w:rsidRPr="00B14DD3" w:rsidRDefault="00166987" w:rsidP="005348E3">
      <w:pPr>
        <w:pStyle w:val="section-title"/>
      </w:pPr>
      <w:bookmarkStart w:id="22" w:name="_2bn6wsx"/>
      <w:bookmarkEnd w:id="22"/>
      <w:r w:rsidRPr="00B14DD3">
        <w:t>Sources et autre documentation</w:t>
      </w:r>
    </w:p>
    <w:p w14:paraId="1796F357" w14:textId="77777777" w:rsidR="00FA43C1" w:rsidRPr="00B14DD3" w:rsidRDefault="00FA43C1" w:rsidP="003A5991">
      <w:pPr>
        <w:spacing w:line="240" w:lineRule="auto"/>
        <w:rPr>
          <w:sz w:val="20"/>
          <w:szCs w:val="20"/>
        </w:rPr>
      </w:pPr>
    </w:p>
    <w:p w14:paraId="1502194A" w14:textId="77777777" w:rsidR="00FA43C1" w:rsidRPr="00C4452D" w:rsidRDefault="00166987" w:rsidP="00D507D4">
      <w:pPr>
        <w:numPr>
          <w:ilvl w:val="0"/>
          <w:numId w:val="10"/>
        </w:numPr>
        <w:spacing w:line="240" w:lineRule="auto"/>
        <w:ind w:left="562" w:hanging="562"/>
        <w:rPr>
          <w:sz w:val="20"/>
          <w:szCs w:val="20"/>
        </w:rPr>
      </w:pPr>
      <w:r w:rsidRPr="00B14DD3">
        <w:rPr>
          <w:sz w:val="20"/>
        </w:rPr>
        <w:t xml:space="preserve">Institut européen pour l'égalité entre les hommes et les femmes (EIGE), </w:t>
      </w:r>
      <w:hyperlink r:id="rId11">
        <w:r w:rsidRPr="00B14DD3">
          <w:rPr>
            <w:i/>
            <w:color w:val="1155CC"/>
            <w:sz w:val="20"/>
            <w:u w:val="single"/>
          </w:rPr>
          <w:t>Gender equality in national parliaments across the EU and the European Parliament</w:t>
        </w:r>
      </w:hyperlink>
      <w:r w:rsidRPr="00B14DD3">
        <w:rPr>
          <w:sz w:val="20"/>
        </w:rPr>
        <w:t xml:space="preserve"> (2019).</w:t>
      </w:r>
    </w:p>
    <w:p w14:paraId="3C20B662" w14:textId="77601960" w:rsidR="00C4452D" w:rsidRPr="00C4452D" w:rsidRDefault="00C4452D" w:rsidP="00C4452D">
      <w:pPr>
        <w:numPr>
          <w:ilvl w:val="0"/>
          <w:numId w:val="10"/>
        </w:numPr>
        <w:spacing w:line="240" w:lineRule="auto"/>
        <w:ind w:left="562" w:hanging="562"/>
        <w:rPr>
          <w:sz w:val="20"/>
          <w:szCs w:val="20"/>
        </w:rPr>
      </w:pPr>
      <w:r w:rsidRPr="00B14DD3">
        <w:rPr>
          <w:sz w:val="20"/>
        </w:rPr>
        <w:t>Institut international pour la démocratie et l'assistance électorale (</w:t>
      </w:r>
      <w:r w:rsidR="00EC11C2">
        <w:rPr>
          <w:sz w:val="20"/>
        </w:rPr>
        <w:t xml:space="preserve">International </w:t>
      </w:r>
      <w:r w:rsidRPr="00B14DD3">
        <w:rPr>
          <w:sz w:val="20"/>
        </w:rPr>
        <w:t>IDEA), U</w:t>
      </w:r>
      <w:r w:rsidR="00EC11C2">
        <w:rPr>
          <w:sz w:val="20"/>
        </w:rPr>
        <w:t>nion Interparlementaire (U</w:t>
      </w:r>
      <w:r w:rsidRPr="00B14DD3">
        <w:rPr>
          <w:sz w:val="20"/>
        </w:rPr>
        <w:t>IP</w:t>
      </w:r>
      <w:r w:rsidR="00EC11C2">
        <w:rPr>
          <w:sz w:val="20"/>
        </w:rPr>
        <w:t>)</w:t>
      </w:r>
      <w:r w:rsidRPr="00B14DD3">
        <w:rPr>
          <w:sz w:val="20"/>
        </w:rPr>
        <w:t xml:space="preserve"> et Université de Stockholm, </w:t>
      </w:r>
      <w:hyperlink r:id="rId12">
        <w:r w:rsidRPr="00B14DD3">
          <w:rPr>
            <w:i/>
            <w:color w:val="1155CC"/>
            <w:sz w:val="20"/>
            <w:u w:val="single"/>
          </w:rPr>
          <w:t>Atlas of electoral gender quotas</w:t>
        </w:r>
      </w:hyperlink>
      <w:r w:rsidRPr="00B14DD3">
        <w:rPr>
          <w:sz w:val="20"/>
        </w:rPr>
        <w:t xml:space="preserve"> (2013).</w:t>
      </w:r>
    </w:p>
    <w:p w14:paraId="7E21674C" w14:textId="461504E3" w:rsidR="00C4452D" w:rsidRPr="00C4452D" w:rsidRDefault="00C4452D" w:rsidP="00C4452D">
      <w:pPr>
        <w:numPr>
          <w:ilvl w:val="0"/>
          <w:numId w:val="10"/>
        </w:numPr>
        <w:spacing w:line="240" w:lineRule="auto"/>
        <w:ind w:left="562" w:hanging="562"/>
        <w:rPr>
          <w:sz w:val="20"/>
          <w:szCs w:val="20"/>
        </w:rPr>
      </w:pPr>
      <w:r w:rsidRPr="00B14DD3">
        <w:rPr>
          <w:sz w:val="20"/>
        </w:rPr>
        <w:t xml:space="preserve">ONU, </w:t>
      </w:r>
      <w:hyperlink r:id="rId13" w:history="1">
        <w:r w:rsidRPr="00B14DD3">
          <w:rPr>
            <w:rStyle w:val="Lienhypertexte"/>
            <w:i/>
            <w:sz w:val="20"/>
            <w:szCs w:val="20"/>
          </w:rPr>
          <w:t>Convention sur l'élimination de toutes les formes de discrimination à l'égard des femmes (CEDEF)</w:t>
        </w:r>
      </w:hyperlink>
      <w:r w:rsidRPr="00B14DD3">
        <w:rPr>
          <w:sz w:val="20"/>
        </w:rPr>
        <w:t xml:space="preserve"> (1979).</w:t>
      </w:r>
    </w:p>
    <w:p w14:paraId="3F159EF1" w14:textId="77777777" w:rsidR="00C4452D" w:rsidRPr="00B14DD3" w:rsidRDefault="00C4452D" w:rsidP="00C4452D">
      <w:pPr>
        <w:numPr>
          <w:ilvl w:val="0"/>
          <w:numId w:val="10"/>
        </w:numPr>
        <w:spacing w:line="240" w:lineRule="auto"/>
        <w:ind w:left="562" w:hanging="562"/>
        <w:rPr>
          <w:sz w:val="20"/>
          <w:szCs w:val="20"/>
        </w:rPr>
      </w:pPr>
      <w:r w:rsidRPr="00B14DD3">
        <w:rPr>
          <w:sz w:val="20"/>
        </w:rPr>
        <w:t xml:space="preserve">Programme des Nations Unies pour le développement (PNUD), </w:t>
      </w:r>
      <w:hyperlink r:id="rId14">
        <w:r w:rsidRPr="00B14DD3">
          <w:rPr>
            <w:i/>
            <w:color w:val="0563C1"/>
            <w:sz w:val="20"/>
            <w:u w:val="single"/>
          </w:rPr>
          <w:t>Guidance Note:</w:t>
        </w:r>
      </w:hyperlink>
      <w:hyperlink r:id="rId15">
        <w:r w:rsidRPr="00B14DD3">
          <w:rPr>
            <w:i/>
            <w:color w:val="0563C1"/>
            <w:sz w:val="20"/>
            <w:u w:val="single"/>
          </w:rPr>
          <w:t xml:space="preserve"> Strategies and good practices in promoting gender equality outcomes in parliaments</w:t>
        </w:r>
      </w:hyperlink>
      <w:r w:rsidRPr="00B14DD3">
        <w:rPr>
          <w:i/>
          <w:sz w:val="20"/>
          <w:u w:val="single"/>
        </w:rPr>
        <w:t xml:space="preserve"> </w:t>
      </w:r>
      <w:r w:rsidRPr="00B14DD3">
        <w:rPr>
          <w:sz w:val="20"/>
        </w:rPr>
        <w:t>(2016).</w:t>
      </w:r>
    </w:p>
    <w:p w14:paraId="0C90E6B4" w14:textId="20AD5D7F" w:rsidR="00FA43C1" w:rsidRPr="00B14DD3" w:rsidRDefault="00166987" w:rsidP="00D507D4">
      <w:pPr>
        <w:numPr>
          <w:ilvl w:val="0"/>
          <w:numId w:val="10"/>
        </w:numPr>
        <w:spacing w:line="240" w:lineRule="auto"/>
        <w:ind w:left="562" w:hanging="562"/>
        <w:rPr>
          <w:sz w:val="20"/>
          <w:szCs w:val="20"/>
        </w:rPr>
      </w:pPr>
      <w:r w:rsidRPr="00B14DD3">
        <w:rPr>
          <w:sz w:val="20"/>
        </w:rPr>
        <w:t xml:space="preserve">Union interparlementaire (UIP), </w:t>
      </w:r>
      <w:hyperlink r:id="rId16">
        <w:r w:rsidRPr="00B14DD3">
          <w:rPr>
            <w:i/>
            <w:color w:val="1155CC"/>
            <w:sz w:val="20"/>
            <w:u w:val="single"/>
          </w:rPr>
          <w:t>Parlements sensibles au genre :</w:t>
        </w:r>
      </w:hyperlink>
      <w:hyperlink r:id="rId17">
        <w:r w:rsidRPr="00B14DD3">
          <w:rPr>
            <w:i/>
            <w:color w:val="1155CC"/>
            <w:sz w:val="20"/>
            <w:u w:val="single"/>
          </w:rPr>
          <w:t xml:space="preserve"> </w:t>
        </w:r>
        <w:r w:rsidR="00E96A80" w:rsidRPr="00B14DD3">
          <w:rPr>
            <w:i/>
            <w:color w:val="1155CC"/>
            <w:sz w:val="20"/>
            <w:u w:val="single"/>
          </w:rPr>
          <w:t>Étude</w:t>
        </w:r>
        <w:r w:rsidRPr="00B14DD3">
          <w:rPr>
            <w:i/>
            <w:color w:val="1155CC"/>
            <w:sz w:val="20"/>
            <w:u w:val="single"/>
          </w:rPr>
          <w:t xml:space="preserve"> mondiale des bonnes pratiques</w:t>
        </w:r>
      </w:hyperlink>
      <w:r w:rsidRPr="00B14DD3">
        <w:rPr>
          <w:sz w:val="20"/>
        </w:rPr>
        <w:t xml:space="preserve"> (2011).</w:t>
      </w:r>
    </w:p>
    <w:p w14:paraId="2DEF516C" w14:textId="141F4267" w:rsidR="00FA43C1" w:rsidRPr="00B14DD3" w:rsidRDefault="00166987" w:rsidP="00D507D4">
      <w:pPr>
        <w:numPr>
          <w:ilvl w:val="0"/>
          <w:numId w:val="10"/>
        </w:numPr>
        <w:spacing w:line="240" w:lineRule="auto"/>
        <w:ind w:left="562" w:hanging="562"/>
        <w:rPr>
          <w:sz w:val="20"/>
          <w:szCs w:val="20"/>
        </w:rPr>
      </w:pPr>
      <w:r w:rsidRPr="00B14DD3">
        <w:rPr>
          <w:sz w:val="20"/>
        </w:rPr>
        <w:t xml:space="preserve">UIP, </w:t>
      </w:r>
      <w:hyperlink r:id="rId18" w:history="1">
        <w:r w:rsidRPr="00B14DD3">
          <w:rPr>
            <w:rStyle w:val="Lienhypertexte"/>
            <w:i/>
            <w:sz w:val="20"/>
            <w:szCs w:val="20"/>
          </w:rPr>
          <w:t>Lignes directrices pour forums de femmes parlementaires</w:t>
        </w:r>
      </w:hyperlink>
      <w:r w:rsidRPr="00B14DD3">
        <w:rPr>
          <w:sz w:val="20"/>
          <w:szCs w:val="20"/>
        </w:rPr>
        <w:t xml:space="preserve"> (2013)</w:t>
      </w:r>
      <w:r w:rsidRPr="00B14DD3">
        <w:rPr>
          <w:sz w:val="20"/>
        </w:rPr>
        <w:t>.</w:t>
      </w:r>
    </w:p>
    <w:p w14:paraId="51136164" w14:textId="77777777" w:rsidR="00FA43C1" w:rsidRPr="00B14DD3" w:rsidRDefault="00166987" w:rsidP="00DC4619">
      <w:pPr>
        <w:numPr>
          <w:ilvl w:val="0"/>
          <w:numId w:val="10"/>
        </w:numPr>
        <w:spacing w:line="240" w:lineRule="auto"/>
        <w:ind w:left="562" w:hanging="562"/>
        <w:rPr>
          <w:sz w:val="20"/>
          <w:szCs w:val="20"/>
        </w:rPr>
      </w:pPr>
      <w:r w:rsidRPr="00B14DD3">
        <w:rPr>
          <w:sz w:val="20"/>
        </w:rPr>
        <w:t xml:space="preserve">UIP, </w:t>
      </w:r>
      <w:hyperlink r:id="rId19" w:history="1">
        <w:r w:rsidRPr="00B14DD3">
          <w:rPr>
            <w:rStyle w:val="Lienhypertexte"/>
            <w:i/>
            <w:sz w:val="20"/>
          </w:rPr>
          <w:t>Liberté des femmes de participer pleinement aux processus politiques, en toute sécurité et en toute indépendance : établir des partenariats hommes-femmes pour atteindre cet objectif</w:t>
        </w:r>
      </w:hyperlink>
      <w:r w:rsidRPr="00B14DD3">
        <w:rPr>
          <w:sz w:val="20"/>
        </w:rPr>
        <w:t>, résolution adoptée à l'unanimité par la 135</w:t>
      </w:r>
      <w:r w:rsidRPr="00B14DD3">
        <w:rPr>
          <w:sz w:val="20"/>
          <w:vertAlign w:val="superscript"/>
        </w:rPr>
        <w:t>e</w:t>
      </w:r>
      <w:r w:rsidRPr="00B14DD3">
        <w:rPr>
          <w:sz w:val="20"/>
        </w:rPr>
        <w:t xml:space="preserve"> Assemblée de l'UIP (2016).</w:t>
      </w:r>
    </w:p>
    <w:p w14:paraId="6F8C2C44" w14:textId="3225EFD8" w:rsidR="00FA43C1" w:rsidRPr="00B14DD3" w:rsidRDefault="00166987" w:rsidP="00D507D4">
      <w:pPr>
        <w:numPr>
          <w:ilvl w:val="0"/>
          <w:numId w:val="10"/>
        </w:numPr>
        <w:spacing w:line="240" w:lineRule="auto"/>
        <w:ind w:left="562" w:hanging="562"/>
        <w:rPr>
          <w:sz w:val="20"/>
          <w:szCs w:val="20"/>
        </w:rPr>
      </w:pPr>
      <w:r w:rsidRPr="00B14DD3">
        <w:rPr>
          <w:sz w:val="20"/>
        </w:rPr>
        <w:t>U</w:t>
      </w:r>
      <w:r w:rsidR="0004172C" w:rsidRPr="00B14DD3">
        <w:rPr>
          <w:sz w:val="20"/>
        </w:rPr>
        <w:t>IP</w:t>
      </w:r>
      <w:r w:rsidRPr="00B14DD3">
        <w:rPr>
          <w:sz w:val="20"/>
        </w:rPr>
        <w:t xml:space="preserve">, </w:t>
      </w:r>
      <w:hyperlink r:id="rId20" w:history="1">
        <w:r w:rsidRPr="00B14DD3">
          <w:rPr>
            <w:i/>
            <w:color w:val="1155CC"/>
            <w:sz w:val="20"/>
            <w:u w:val="single"/>
          </w:rPr>
          <w:t>Les femmes au parlement en 2022 :</w:t>
        </w:r>
      </w:hyperlink>
      <w:hyperlink r:id="rId21" w:history="1">
        <w:r w:rsidRPr="00B14DD3">
          <w:rPr>
            <w:i/>
            <w:color w:val="1155CC"/>
            <w:sz w:val="20"/>
            <w:u w:val="single"/>
          </w:rPr>
          <w:t xml:space="preserve"> Regard sur l'année écoulée</w:t>
        </w:r>
      </w:hyperlink>
      <w:r w:rsidRPr="00B14DD3">
        <w:rPr>
          <w:sz w:val="20"/>
        </w:rPr>
        <w:t xml:space="preserve"> (2023).</w:t>
      </w:r>
    </w:p>
    <w:p w14:paraId="6F8B1EF7" w14:textId="77777777" w:rsidR="00FA43C1" w:rsidRPr="00B14DD3" w:rsidRDefault="00166987" w:rsidP="00D507D4">
      <w:pPr>
        <w:numPr>
          <w:ilvl w:val="0"/>
          <w:numId w:val="10"/>
        </w:numPr>
        <w:spacing w:line="240" w:lineRule="auto"/>
        <w:ind w:left="562" w:hanging="562"/>
        <w:rPr>
          <w:sz w:val="20"/>
          <w:szCs w:val="20"/>
        </w:rPr>
      </w:pPr>
      <w:r w:rsidRPr="00B14DD3">
        <w:rPr>
          <w:sz w:val="20"/>
        </w:rPr>
        <w:t xml:space="preserve">UIP et Comité sur l'élimination de la discrimination à l'égard des femmes (Comité CEDEF), </w:t>
      </w:r>
      <w:hyperlink r:id="rId22" w:history="1">
        <w:r w:rsidRPr="00B14DD3">
          <w:rPr>
            <w:rStyle w:val="Lienhypertexte"/>
            <w:sz w:val="20"/>
          </w:rPr>
          <w:t>Appel commun de l'UIP et du Comité CEDEF à l'occasion de la Journée internationale des femmes 2021</w:t>
        </w:r>
      </w:hyperlink>
      <w:r w:rsidRPr="00B14DD3">
        <w:rPr>
          <w:sz w:val="20"/>
        </w:rPr>
        <w:t xml:space="preserve"> (2021).</w:t>
      </w:r>
    </w:p>
    <w:p w14:paraId="21BB8F91" w14:textId="77777777" w:rsidR="00FA43C1" w:rsidRPr="00B14DD3" w:rsidRDefault="00FA43C1" w:rsidP="003A5991">
      <w:pPr>
        <w:spacing w:line="240" w:lineRule="auto"/>
        <w:rPr>
          <w:i/>
          <w:sz w:val="20"/>
          <w:szCs w:val="20"/>
          <w:u w:val="single"/>
        </w:rPr>
      </w:pPr>
    </w:p>
    <w:p w14:paraId="337F72C3" w14:textId="77777777" w:rsidR="00FA43C1" w:rsidRPr="00B14DD3" w:rsidRDefault="00166987" w:rsidP="005348E3">
      <w:pPr>
        <w:pStyle w:val="Dimension"/>
      </w:pPr>
      <w:bookmarkStart w:id="23" w:name="_3as4poj"/>
      <w:bookmarkStart w:id="24" w:name="_1pxezwc"/>
      <w:bookmarkEnd w:id="23"/>
      <w:bookmarkEnd w:id="24"/>
      <w:r w:rsidRPr="00B14DD3">
        <w:t xml:space="preserve">Aspect 7.2.3 : Représentation des jeunes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507D4" w:rsidRPr="00B14DD3" w14:paraId="616F0440" w14:textId="77777777" w:rsidTr="002C74AC">
        <w:tc>
          <w:tcPr>
            <w:tcW w:w="9120" w:type="dxa"/>
            <w:shd w:val="clear" w:color="auto" w:fill="EEEEEE"/>
          </w:tcPr>
          <w:p w14:paraId="3B626873" w14:textId="77777777" w:rsidR="00FA43C1" w:rsidRPr="00B14DD3" w:rsidRDefault="00166987" w:rsidP="002C74AC">
            <w:pPr>
              <w:spacing w:line="240" w:lineRule="auto"/>
              <w:rPr>
                <w:sz w:val="20"/>
                <w:szCs w:val="20"/>
              </w:rPr>
            </w:pPr>
            <w:r w:rsidRPr="00B14DD3">
              <w:rPr>
                <w:sz w:val="20"/>
              </w:rPr>
              <w:t>Cet aspect s'applique aux éléments suivants :</w:t>
            </w:r>
          </w:p>
          <w:p w14:paraId="494DD3CD" w14:textId="77777777" w:rsidR="00FA43C1" w:rsidRPr="00B14DD3" w:rsidRDefault="00166987" w:rsidP="002C74AC">
            <w:pPr>
              <w:pStyle w:val="Paragraphedeliste"/>
              <w:numPr>
                <w:ilvl w:val="0"/>
                <w:numId w:val="17"/>
              </w:numPr>
              <w:spacing w:line="240" w:lineRule="auto"/>
              <w:rPr>
                <w:rFonts w:eastAsia="Calibri" w:cs="Calibri"/>
                <w:sz w:val="20"/>
                <w:szCs w:val="20"/>
              </w:rPr>
            </w:pPr>
            <w:r w:rsidRPr="00B14DD3">
              <w:rPr>
                <w:sz w:val="20"/>
              </w:rPr>
              <w:t>Indicateur 7.2 : Intégrité des élections</w:t>
            </w:r>
          </w:p>
          <w:p w14:paraId="49C33903" w14:textId="77777777" w:rsidR="00FA43C1" w:rsidRPr="00B14DD3" w:rsidRDefault="00166987" w:rsidP="002C74AC">
            <w:pPr>
              <w:pStyle w:val="Paragraphedeliste"/>
              <w:numPr>
                <w:ilvl w:val="0"/>
                <w:numId w:val="17"/>
              </w:numPr>
              <w:spacing w:line="240" w:lineRule="auto"/>
              <w:rPr>
                <w:rFonts w:eastAsia="Calibri" w:cs="Calibri"/>
                <w:sz w:val="24"/>
                <w:szCs w:val="20"/>
              </w:rPr>
            </w:pPr>
            <w:r w:rsidRPr="00B14DD3">
              <w:rPr>
                <w:sz w:val="20"/>
              </w:rPr>
              <w:t>Cible 7 : Des parlements représentatifs</w:t>
            </w:r>
          </w:p>
        </w:tc>
      </w:tr>
    </w:tbl>
    <w:p w14:paraId="7B02F51F" w14:textId="77777777" w:rsidR="00FA43C1" w:rsidRPr="00B14DD3" w:rsidRDefault="00166987" w:rsidP="005348E3">
      <w:pPr>
        <w:pStyle w:val="section-title"/>
      </w:pPr>
      <w:r w:rsidRPr="00B14DD3">
        <w:t>À propos de l'aspect</w:t>
      </w:r>
    </w:p>
    <w:p w14:paraId="3B82995A" w14:textId="77777777" w:rsidR="00FA43C1" w:rsidRPr="00B14DD3" w:rsidRDefault="00166987" w:rsidP="003A5991">
      <w:pPr>
        <w:spacing w:line="240" w:lineRule="auto"/>
        <w:rPr>
          <w:sz w:val="20"/>
          <w:szCs w:val="20"/>
        </w:rPr>
      </w:pPr>
      <w:r w:rsidRPr="00B14DD3">
        <w:rPr>
          <w:sz w:val="20"/>
        </w:rPr>
        <w:t xml:space="preserve">Cette dimension porte sur la représentation des jeunes hommes et femmes au parlement. Pour accroître la représentation politique des jeunes, il faut un cadre juridique porteur, exempt de restrictions. </w:t>
      </w:r>
    </w:p>
    <w:p w14:paraId="1C41EB89" w14:textId="77777777" w:rsidR="00FA43C1" w:rsidRPr="00B14DD3" w:rsidRDefault="00FA43C1" w:rsidP="003A5991">
      <w:pPr>
        <w:spacing w:line="240" w:lineRule="auto"/>
        <w:rPr>
          <w:sz w:val="20"/>
          <w:szCs w:val="20"/>
        </w:rPr>
      </w:pPr>
    </w:p>
    <w:p w14:paraId="27F5B871" w14:textId="66C2FEFA" w:rsidR="00FA43C1" w:rsidRPr="00B14DD3" w:rsidRDefault="00166987" w:rsidP="003A5991">
      <w:pPr>
        <w:spacing w:line="240" w:lineRule="auto"/>
        <w:rPr>
          <w:sz w:val="20"/>
        </w:rPr>
      </w:pPr>
      <w:r w:rsidRPr="00B14DD3">
        <w:rPr>
          <w:sz w:val="20"/>
        </w:rPr>
        <w:t xml:space="preserve">L'alignement de l'âge minimum pour se présenter aux élections sur l'âge minimum pour voter constitue un facteur très important </w:t>
      </w:r>
      <w:r w:rsidR="00E96A80" w:rsidRPr="00B14DD3">
        <w:rPr>
          <w:sz w:val="20"/>
        </w:rPr>
        <w:t xml:space="preserve">pour </w:t>
      </w:r>
      <w:r w:rsidRPr="00B14DD3">
        <w:rPr>
          <w:sz w:val="20"/>
        </w:rPr>
        <w:t>favoris</w:t>
      </w:r>
      <w:r w:rsidR="00E96A80" w:rsidRPr="00B14DD3">
        <w:rPr>
          <w:sz w:val="20"/>
        </w:rPr>
        <w:t>er</w:t>
      </w:r>
      <w:r w:rsidRPr="00B14DD3">
        <w:rPr>
          <w:sz w:val="20"/>
        </w:rPr>
        <w:t xml:space="preserve"> la représentation des jeunes. Dans le cas des parlements bicaméraux, il est également opportun d'harmoniser l'âge minimum pour siéger dans les deux chambres.</w:t>
      </w:r>
    </w:p>
    <w:p w14:paraId="18B1A071" w14:textId="77777777" w:rsidR="00FA43C1" w:rsidRPr="00B14DD3" w:rsidRDefault="00FA43C1" w:rsidP="003A5991">
      <w:pPr>
        <w:spacing w:line="240" w:lineRule="auto"/>
        <w:rPr>
          <w:sz w:val="20"/>
        </w:rPr>
      </w:pPr>
    </w:p>
    <w:p w14:paraId="7164DD46" w14:textId="18B4A3D6" w:rsidR="00FA43C1" w:rsidRPr="00B14DD3" w:rsidRDefault="00166987" w:rsidP="003A5991">
      <w:pPr>
        <w:spacing w:line="240" w:lineRule="auto"/>
        <w:rPr>
          <w:sz w:val="20"/>
          <w:szCs w:val="20"/>
        </w:rPr>
      </w:pPr>
      <w:r w:rsidRPr="00B14DD3">
        <w:rPr>
          <w:sz w:val="20"/>
        </w:rPr>
        <w:t xml:space="preserve">Certains parlements ont adopté des mesures spécialement destinées à </w:t>
      </w:r>
      <w:r w:rsidR="00E96A80" w:rsidRPr="00B14DD3">
        <w:rPr>
          <w:sz w:val="20"/>
        </w:rPr>
        <w:t xml:space="preserve">accroître </w:t>
      </w:r>
      <w:r w:rsidRPr="00B14DD3">
        <w:rPr>
          <w:sz w:val="20"/>
        </w:rPr>
        <w:t xml:space="preserve">la représentation des jeunes au parlement, notamment des </w:t>
      </w:r>
      <w:r w:rsidR="00E96A80" w:rsidRPr="00B14DD3">
        <w:rPr>
          <w:sz w:val="20"/>
        </w:rPr>
        <w:t xml:space="preserve">mesures inscrites dans la législation telles que des </w:t>
      </w:r>
      <w:r w:rsidRPr="00B14DD3">
        <w:rPr>
          <w:sz w:val="20"/>
        </w:rPr>
        <w:t xml:space="preserve">quotas de candidats ou des sièges réservés. Les partis politiques peuvent également agir en adoptant des quotas volontaires, en renforçant les </w:t>
      </w:r>
      <w:r w:rsidR="00466CC0" w:rsidRPr="00B14DD3">
        <w:rPr>
          <w:sz w:val="20"/>
        </w:rPr>
        <w:t>sections</w:t>
      </w:r>
      <w:r w:rsidRPr="00B14DD3">
        <w:rPr>
          <w:sz w:val="20"/>
        </w:rPr>
        <w:t xml:space="preserve">/organisations de leur parti </w:t>
      </w:r>
      <w:r w:rsidR="00466CC0" w:rsidRPr="00B14DD3">
        <w:rPr>
          <w:sz w:val="20"/>
        </w:rPr>
        <w:t xml:space="preserve">rassemblant les jeunes </w:t>
      </w:r>
      <w:r w:rsidRPr="00B14DD3">
        <w:rPr>
          <w:sz w:val="20"/>
        </w:rPr>
        <w:t xml:space="preserve">et en encourageant </w:t>
      </w:r>
      <w:r w:rsidR="00466CC0" w:rsidRPr="00B14DD3">
        <w:rPr>
          <w:sz w:val="20"/>
        </w:rPr>
        <w:t>c</w:t>
      </w:r>
      <w:r w:rsidRPr="00B14DD3">
        <w:rPr>
          <w:sz w:val="20"/>
        </w:rPr>
        <w:t xml:space="preserve">es </w:t>
      </w:r>
      <w:r w:rsidR="00466CC0" w:rsidRPr="00B14DD3">
        <w:rPr>
          <w:sz w:val="20"/>
        </w:rPr>
        <w:t xml:space="preserve">derniers </w:t>
      </w:r>
      <w:r w:rsidRPr="00B14DD3">
        <w:rPr>
          <w:sz w:val="20"/>
        </w:rPr>
        <w:t>à se présenter aux élections.</w:t>
      </w:r>
    </w:p>
    <w:p w14:paraId="4589B88C" w14:textId="77777777" w:rsidR="00FA43C1" w:rsidRPr="00B14DD3" w:rsidRDefault="00FA43C1" w:rsidP="003A5991">
      <w:pPr>
        <w:spacing w:line="240" w:lineRule="auto"/>
        <w:rPr>
          <w:sz w:val="20"/>
          <w:szCs w:val="20"/>
        </w:rPr>
      </w:pPr>
    </w:p>
    <w:p w14:paraId="4F799EE9" w14:textId="1BCAF5FE" w:rsidR="00FA43C1" w:rsidRPr="00B14DD3" w:rsidRDefault="00166987" w:rsidP="003A5991">
      <w:pPr>
        <w:spacing w:line="240" w:lineRule="auto"/>
        <w:rPr>
          <w:sz w:val="20"/>
        </w:rPr>
      </w:pPr>
      <w:r w:rsidRPr="00B14DD3">
        <w:rPr>
          <w:sz w:val="20"/>
        </w:rPr>
        <w:t xml:space="preserve">Un grand nombre de parlements disposent de commissions </w:t>
      </w:r>
      <w:r w:rsidR="00466CC0" w:rsidRPr="00B14DD3">
        <w:rPr>
          <w:sz w:val="20"/>
        </w:rPr>
        <w:t xml:space="preserve">chargées des </w:t>
      </w:r>
      <w:r w:rsidRPr="00B14DD3">
        <w:rPr>
          <w:sz w:val="20"/>
        </w:rPr>
        <w:t xml:space="preserve">questions </w:t>
      </w:r>
      <w:r w:rsidR="00466CC0" w:rsidRPr="00B14DD3">
        <w:rPr>
          <w:sz w:val="20"/>
        </w:rPr>
        <w:t xml:space="preserve">concernant les </w:t>
      </w:r>
      <w:r w:rsidRPr="00B14DD3">
        <w:rPr>
          <w:sz w:val="20"/>
        </w:rPr>
        <w:t>jeunes. Dans certains parlements ont été instaurés des forums consacrés aux questions relatives aux jeunes ou des forums de jeunes parlementaires. Dans d'autres, les jeunes parlementaires ont créé leurs propres réseaux.</w:t>
      </w:r>
    </w:p>
    <w:p w14:paraId="07D23880" w14:textId="77777777" w:rsidR="00FA43C1" w:rsidRPr="00B14DD3" w:rsidRDefault="00FA43C1" w:rsidP="003A5991">
      <w:pPr>
        <w:spacing w:line="240" w:lineRule="auto"/>
        <w:rPr>
          <w:sz w:val="20"/>
          <w:szCs w:val="20"/>
        </w:rPr>
      </w:pPr>
    </w:p>
    <w:p w14:paraId="26CE3089" w14:textId="1A4A88B3" w:rsidR="00FA43C1" w:rsidRPr="00B14DD3" w:rsidRDefault="00466CC0" w:rsidP="003A5991">
      <w:pPr>
        <w:spacing w:line="240" w:lineRule="auto"/>
        <w:rPr>
          <w:sz w:val="20"/>
          <w:szCs w:val="20"/>
        </w:rPr>
      </w:pPr>
      <w:r w:rsidRPr="00B14DD3">
        <w:rPr>
          <w:sz w:val="20"/>
        </w:rPr>
        <w:t>Parmi les autres exemples de bonnes pratiques parlementaires renforçant la représentation des jeunes figurent l’offre de formations et de mentorat spécifiquement destinés aux jeunes parlementaires, ainsi que l'instauration d'un environnement porteur grâce à des mesures telles que des structures de garde d'enfants, des horaires de travail souples et des possibilités de télétravail.</w:t>
      </w:r>
    </w:p>
    <w:p w14:paraId="4F28CDC9" w14:textId="77777777" w:rsidR="00FA43C1" w:rsidRPr="00B14DD3" w:rsidRDefault="00FA43C1" w:rsidP="003A5991">
      <w:pPr>
        <w:spacing w:line="240" w:lineRule="auto"/>
        <w:rPr>
          <w:sz w:val="20"/>
          <w:szCs w:val="20"/>
        </w:rPr>
      </w:pPr>
    </w:p>
    <w:p w14:paraId="6B6B85F0" w14:textId="1E2E0695" w:rsidR="00FA43C1" w:rsidRPr="00B14DD3" w:rsidRDefault="00166987" w:rsidP="003A5991">
      <w:pPr>
        <w:spacing w:line="240" w:lineRule="auto"/>
        <w:rPr>
          <w:iCs/>
          <w:sz w:val="18"/>
          <w:szCs w:val="18"/>
        </w:rPr>
      </w:pPr>
      <w:r w:rsidRPr="00B14DD3">
        <w:rPr>
          <w:sz w:val="20"/>
          <w:szCs w:val="20"/>
        </w:rPr>
        <w:t xml:space="preserve">Pour les modalités au travers desquelles le parlement </w:t>
      </w:r>
      <w:r w:rsidR="00466CC0" w:rsidRPr="00B14DD3">
        <w:rPr>
          <w:sz w:val="20"/>
          <w:szCs w:val="20"/>
        </w:rPr>
        <w:t xml:space="preserve">s’efforce de </w:t>
      </w:r>
      <w:r w:rsidRPr="00B14DD3">
        <w:rPr>
          <w:sz w:val="20"/>
          <w:szCs w:val="20"/>
        </w:rPr>
        <w:t>tenir compte de l'avis des jeunes dans son travail, voir également l'</w:t>
      </w:r>
      <w:r w:rsidRPr="00B14DD3">
        <w:rPr>
          <w:i/>
          <w:sz w:val="20"/>
          <w:szCs w:val="20"/>
        </w:rPr>
        <w:t>aspect 5.1.</w:t>
      </w:r>
      <w:r w:rsidR="00DE24A6">
        <w:rPr>
          <w:i/>
          <w:sz w:val="20"/>
          <w:szCs w:val="20"/>
        </w:rPr>
        <w:t>5</w:t>
      </w:r>
      <w:r w:rsidRPr="00B14DD3">
        <w:rPr>
          <w:sz w:val="20"/>
          <w:szCs w:val="20"/>
        </w:rPr>
        <w:t> :</w:t>
      </w:r>
      <w:r w:rsidRPr="00B14DD3">
        <w:rPr>
          <w:i/>
          <w:sz w:val="18"/>
          <w:szCs w:val="20"/>
        </w:rPr>
        <w:t xml:space="preserve"> </w:t>
      </w:r>
      <w:r w:rsidRPr="00B14DD3">
        <w:rPr>
          <w:i/>
          <w:sz w:val="20"/>
          <w:szCs w:val="20"/>
        </w:rPr>
        <w:t>Inclusion des jeunes</w:t>
      </w:r>
      <w:r w:rsidRPr="00B14DD3">
        <w:rPr>
          <w:sz w:val="20"/>
          <w:szCs w:val="20"/>
        </w:rPr>
        <w:t>.</w:t>
      </w:r>
    </w:p>
    <w:p w14:paraId="16FE33F0" w14:textId="77777777" w:rsidR="00FA43C1" w:rsidRPr="00B14DD3" w:rsidRDefault="00166987" w:rsidP="005348E3">
      <w:pPr>
        <w:pStyle w:val="section-title"/>
      </w:pPr>
      <w:r w:rsidRPr="00B14DD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14DD3" w14:paraId="0BCADD21" w14:textId="77777777" w:rsidTr="00D507D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11B3975" w14:textId="77777777" w:rsidR="00FA43C1" w:rsidRPr="00B14DD3" w:rsidRDefault="00166987" w:rsidP="003A5991">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des jeunes : </w:t>
            </w:r>
          </w:p>
          <w:p w14:paraId="7C780AFA" w14:textId="77777777" w:rsidR="00FA43C1" w:rsidRPr="00B14DD3" w:rsidRDefault="00FA43C1" w:rsidP="003A5991">
            <w:pPr>
              <w:spacing w:line="240" w:lineRule="auto"/>
              <w:rPr>
                <w:sz w:val="20"/>
                <w:szCs w:val="20"/>
              </w:rPr>
            </w:pPr>
          </w:p>
          <w:p w14:paraId="244A11FB" w14:textId="24A0E658" w:rsidR="00FA43C1" w:rsidRPr="00B14DD3" w:rsidRDefault="00166987" w:rsidP="003A5991">
            <w:pPr>
              <w:spacing w:line="240" w:lineRule="auto"/>
              <w:rPr>
                <w:sz w:val="20"/>
              </w:rPr>
            </w:pPr>
            <w:r w:rsidRPr="00B14DD3">
              <w:rPr>
                <w:sz w:val="20"/>
              </w:rPr>
              <w:t xml:space="preserve">Le cadre juridique fixe un âge minimum pour </w:t>
            </w:r>
            <w:r w:rsidR="007A4C6F" w:rsidRPr="00B14DD3">
              <w:rPr>
                <w:sz w:val="20"/>
              </w:rPr>
              <w:t xml:space="preserve">briguer </w:t>
            </w:r>
            <w:r w:rsidRPr="00B14DD3">
              <w:rPr>
                <w:sz w:val="20"/>
              </w:rPr>
              <w:t xml:space="preserve">des fonctions </w:t>
            </w:r>
            <w:r w:rsidR="007A4C6F" w:rsidRPr="00B14DD3">
              <w:rPr>
                <w:sz w:val="20"/>
              </w:rPr>
              <w:t xml:space="preserve">électives </w:t>
            </w:r>
            <w:r w:rsidRPr="00B14DD3">
              <w:rPr>
                <w:sz w:val="20"/>
              </w:rPr>
              <w:t>identique à l'âge minimum pour voter.</w:t>
            </w:r>
          </w:p>
          <w:p w14:paraId="48A09915" w14:textId="77777777" w:rsidR="00FA43C1" w:rsidRPr="00B14DD3" w:rsidRDefault="00FA43C1" w:rsidP="003A5991">
            <w:pPr>
              <w:spacing w:line="240" w:lineRule="auto"/>
              <w:rPr>
                <w:sz w:val="20"/>
                <w:szCs w:val="20"/>
              </w:rPr>
            </w:pPr>
          </w:p>
          <w:p w14:paraId="541D9EBB" w14:textId="77777777" w:rsidR="00FA43C1" w:rsidRPr="00B14DD3" w:rsidRDefault="00166987" w:rsidP="00383F06">
            <w:pPr>
              <w:keepNext/>
              <w:spacing w:line="240" w:lineRule="auto"/>
              <w:rPr>
                <w:sz w:val="20"/>
                <w:szCs w:val="20"/>
              </w:rPr>
            </w:pPr>
            <w:r w:rsidRPr="00B14DD3">
              <w:rPr>
                <w:sz w:val="20"/>
              </w:rPr>
              <w:t xml:space="preserve">Des mesures législatives et politiques sont prises pour promouvoir la représentation des jeunes au parlement. </w:t>
            </w:r>
          </w:p>
          <w:p w14:paraId="0F5F5F8D" w14:textId="77777777" w:rsidR="00FA43C1" w:rsidRPr="00B14DD3" w:rsidRDefault="00FA43C1" w:rsidP="003A5991">
            <w:pPr>
              <w:spacing w:line="240" w:lineRule="auto"/>
              <w:rPr>
                <w:sz w:val="20"/>
                <w:szCs w:val="20"/>
              </w:rPr>
            </w:pPr>
          </w:p>
          <w:p w14:paraId="58E1621D" w14:textId="77777777" w:rsidR="00FA43C1" w:rsidRPr="00B14DD3" w:rsidRDefault="00166987" w:rsidP="003A5991">
            <w:pPr>
              <w:spacing w:line="240" w:lineRule="auto"/>
              <w:rPr>
                <w:sz w:val="20"/>
                <w:szCs w:val="20"/>
              </w:rPr>
            </w:pPr>
            <w:r w:rsidRPr="00B14DD3">
              <w:rPr>
                <w:sz w:val="20"/>
              </w:rPr>
              <w:t xml:space="preserve">Des instances parlementaires telles que des commissions, des forums ou des réseaux de jeunes parlementaires sont chargées des questions relatives aux jeunes.  </w:t>
            </w:r>
          </w:p>
          <w:p w14:paraId="597DCDB9" w14:textId="77777777" w:rsidR="00FA43C1" w:rsidRPr="00B14DD3" w:rsidRDefault="00FA43C1" w:rsidP="003A5991">
            <w:pPr>
              <w:spacing w:line="240" w:lineRule="auto"/>
              <w:rPr>
                <w:sz w:val="20"/>
                <w:szCs w:val="20"/>
              </w:rPr>
            </w:pPr>
          </w:p>
          <w:p w14:paraId="4A4A0E38" w14:textId="77777777" w:rsidR="00FA43C1" w:rsidRPr="00B14DD3" w:rsidRDefault="00166987" w:rsidP="00607BBD">
            <w:pPr>
              <w:spacing w:line="240" w:lineRule="auto"/>
              <w:rPr>
                <w:color w:val="0070C0"/>
                <w:sz w:val="20"/>
                <w:szCs w:val="20"/>
              </w:rPr>
            </w:pPr>
            <w:r w:rsidRPr="00B14DD3">
              <w:rPr>
                <w:sz w:val="20"/>
              </w:rPr>
              <w:t>Le parlement constitue un environnement porteur pour les jeunes parlementaires, notamment grâce à la mise à disposition d'offres de formation et de mentorat.</w:t>
            </w:r>
          </w:p>
          <w:p w14:paraId="16105649" w14:textId="77777777" w:rsidR="00FA43C1" w:rsidRPr="00B14DD3" w:rsidRDefault="00FA43C1" w:rsidP="00607BBD">
            <w:pPr>
              <w:spacing w:line="240" w:lineRule="auto"/>
              <w:rPr>
                <w:color w:val="0070C0"/>
                <w:sz w:val="20"/>
                <w:szCs w:val="20"/>
              </w:rPr>
            </w:pPr>
          </w:p>
        </w:tc>
      </w:tr>
    </w:tbl>
    <w:p w14:paraId="79595E31" w14:textId="77777777" w:rsidR="00FA43C1" w:rsidRPr="00B14DD3" w:rsidRDefault="00166987" w:rsidP="005348E3">
      <w:pPr>
        <w:pStyle w:val="section-title"/>
      </w:pPr>
      <w:r w:rsidRPr="00B14DD3">
        <w:t>Évaluation</w:t>
      </w:r>
    </w:p>
    <w:p w14:paraId="747F8066" w14:textId="77777777" w:rsidR="00FA43C1" w:rsidRPr="00B14DD3" w:rsidRDefault="00166987" w:rsidP="003A5991">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A6DC582" w14:textId="77777777" w:rsidR="00FA43C1" w:rsidRPr="00B14DD3" w:rsidRDefault="00166987" w:rsidP="003A5991">
      <w:pPr>
        <w:spacing w:before="200" w:line="240" w:lineRule="auto"/>
        <w:rPr>
          <w:sz w:val="20"/>
          <w:szCs w:val="20"/>
        </w:rPr>
      </w:pPr>
      <w:r w:rsidRPr="00B14DD3">
        <w:rPr>
          <w:sz w:val="20"/>
        </w:rPr>
        <w:t>Exemples d'éléments permettant d'étayer l'évaluation :</w:t>
      </w:r>
    </w:p>
    <w:p w14:paraId="403F0131" w14:textId="77777777" w:rsidR="00FA43C1" w:rsidRPr="00B14DD3" w:rsidRDefault="00FA43C1" w:rsidP="00D507D4">
      <w:pPr>
        <w:spacing w:line="240" w:lineRule="auto"/>
        <w:rPr>
          <w:sz w:val="20"/>
          <w:szCs w:val="20"/>
        </w:rPr>
      </w:pPr>
    </w:p>
    <w:p w14:paraId="4C1D7D08" w14:textId="77777777" w:rsidR="00FA43C1" w:rsidRPr="00B14DD3" w:rsidRDefault="00166987" w:rsidP="00D507D4">
      <w:pPr>
        <w:numPr>
          <w:ilvl w:val="0"/>
          <w:numId w:val="9"/>
        </w:numPr>
        <w:spacing w:line="240" w:lineRule="auto"/>
        <w:ind w:left="562" w:hanging="562"/>
        <w:rPr>
          <w:sz w:val="20"/>
          <w:szCs w:val="20"/>
        </w:rPr>
      </w:pPr>
      <w:r w:rsidRPr="00B14DD3">
        <w:rPr>
          <w:sz w:val="20"/>
        </w:rPr>
        <w:t>Dispositions de la Constitution ou autres éléments du cadre juridique établissant l'âge minimum pour voter et l'âge minimum pour se présenter aux élections</w:t>
      </w:r>
    </w:p>
    <w:p w14:paraId="225279A5" w14:textId="77777777" w:rsidR="00FA43C1" w:rsidRPr="00B14DD3" w:rsidRDefault="00166987" w:rsidP="00D507D4">
      <w:pPr>
        <w:numPr>
          <w:ilvl w:val="0"/>
          <w:numId w:val="9"/>
        </w:numPr>
        <w:spacing w:line="240" w:lineRule="auto"/>
        <w:ind w:left="562" w:hanging="562"/>
        <w:rPr>
          <w:sz w:val="20"/>
          <w:szCs w:val="20"/>
        </w:rPr>
      </w:pPr>
      <w:r w:rsidRPr="00B14DD3">
        <w:rPr>
          <w:sz w:val="20"/>
        </w:rPr>
        <w:t>Politiques, structures ou documents du parlement portant sur la participation des jeunes parlementaires et sur le soutien qui leur est offert</w:t>
      </w:r>
    </w:p>
    <w:p w14:paraId="51116B55" w14:textId="77777777" w:rsidR="00FA43C1" w:rsidRPr="00B14DD3" w:rsidRDefault="00166987" w:rsidP="00D507D4">
      <w:pPr>
        <w:numPr>
          <w:ilvl w:val="0"/>
          <w:numId w:val="9"/>
        </w:numPr>
        <w:spacing w:line="240" w:lineRule="auto"/>
        <w:ind w:left="562" w:hanging="562"/>
        <w:rPr>
          <w:sz w:val="20"/>
          <w:szCs w:val="20"/>
        </w:rPr>
      </w:pPr>
      <w:r w:rsidRPr="00B14DD3">
        <w:rPr>
          <w:sz w:val="20"/>
        </w:rPr>
        <w:t>Nombre de parlementaires de moins de 45, 40 et 30 ans</w:t>
      </w:r>
    </w:p>
    <w:p w14:paraId="244F8528" w14:textId="77777777" w:rsidR="00FA43C1" w:rsidRPr="00B14DD3" w:rsidRDefault="00166987" w:rsidP="00D507D4">
      <w:pPr>
        <w:numPr>
          <w:ilvl w:val="0"/>
          <w:numId w:val="9"/>
        </w:numPr>
        <w:spacing w:line="240" w:lineRule="auto"/>
        <w:ind w:left="562" w:hanging="562"/>
        <w:rPr>
          <w:sz w:val="20"/>
          <w:szCs w:val="20"/>
        </w:rPr>
      </w:pPr>
      <w:r w:rsidRPr="00B14DD3">
        <w:rPr>
          <w:sz w:val="20"/>
        </w:rPr>
        <w:t>Exemples de communications parlementaires mettant en valeur le travail réalisé par les jeunes parlementaires</w:t>
      </w:r>
    </w:p>
    <w:p w14:paraId="19B40AE1" w14:textId="77777777" w:rsidR="00FA43C1" w:rsidRPr="00B14DD3" w:rsidRDefault="00FA43C1" w:rsidP="003A5991">
      <w:pPr>
        <w:spacing w:line="240" w:lineRule="auto"/>
        <w:rPr>
          <w:sz w:val="20"/>
          <w:szCs w:val="20"/>
        </w:rPr>
      </w:pPr>
    </w:p>
    <w:p w14:paraId="2B1207D2" w14:textId="77777777" w:rsidR="00FA43C1" w:rsidRPr="00B14DD3" w:rsidRDefault="00166987" w:rsidP="003A5991">
      <w:pPr>
        <w:spacing w:line="240" w:lineRule="auto"/>
        <w:rPr>
          <w:sz w:val="20"/>
          <w:szCs w:val="20"/>
        </w:rPr>
      </w:pPr>
      <w:r w:rsidRPr="00B14DD3">
        <w:rPr>
          <w:sz w:val="20"/>
        </w:rPr>
        <w:t>Le cas échéant, merci de bien vouloir communiquer des observations ou exemples supplémentaires pour étayer l'évaluation.</w:t>
      </w:r>
    </w:p>
    <w:p w14:paraId="6DC2D1F6" w14:textId="77777777" w:rsidR="00FA43C1" w:rsidRPr="00B14DD3" w:rsidRDefault="00FA43C1" w:rsidP="003A5991">
      <w:pPr>
        <w:spacing w:line="240" w:lineRule="auto"/>
        <w:rPr>
          <w:sz w:val="20"/>
          <w:szCs w:val="20"/>
        </w:rPr>
      </w:pPr>
    </w:p>
    <w:p w14:paraId="65FDBFED" w14:textId="77777777" w:rsidR="00FA43C1" w:rsidRPr="00B14DD3" w:rsidRDefault="00166987" w:rsidP="00E0404A">
      <w:pPr>
        <w:pStyle w:val="Titre4"/>
      </w:pPr>
      <w:bookmarkStart w:id="25" w:name="_n7o0nexjrtix"/>
      <w:bookmarkEnd w:id="25"/>
      <w:r w:rsidRPr="00B14DD3">
        <w:t xml:space="preserve">Critère d'évaluation n° 1 : Âge minimum pour se présenter aux élections </w:t>
      </w:r>
    </w:p>
    <w:p w14:paraId="52B8E726" w14:textId="3BEBCF7F" w:rsidR="00FA43C1" w:rsidRPr="00B14DD3" w:rsidRDefault="00166987" w:rsidP="00607BBD">
      <w:pPr>
        <w:spacing w:line="240" w:lineRule="auto"/>
        <w:rPr>
          <w:sz w:val="20"/>
        </w:rPr>
      </w:pPr>
      <w:r w:rsidRPr="00B14DD3">
        <w:rPr>
          <w:sz w:val="20"/>
        </w:rPr>
        <w:t xml:space="preserve">Le cadre juridique fixe un âge minimum pour briguer des fonctions </w:t>
      </w:r>
      <w:r w:rsidR="007A4C6F" w:rsidRPr="00B14DD3">
        <w:rPr>
          <w:sz w:val="20"/>
        </w:rPr>
        <w:t xml:space="preserve">électives </w:t>
      </w:r>
      <w:r w:rsidRPr="00B14DD3">
        <w:rPr>
          <w:sz w:val="20"/>
        </w:rPr>
        <w:t>identique à l'âge minimum pour voter.</w:t>
      </w:r>
    </w:p>
    <w:p w14:paraId="1A8886E8"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C7C7A" w:rsidRPr="00B14DD3" w14:paraId="24C337AF"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AC2D8E" w14:textId="77777777" w:rsidR="00FA43C1" w:rsidRPr="00B14DD3" w:rsidRDefault="00166987">
            <w:pPr>
              <w:jc w:val="center"/>
              <w:rPr>
                <w:rFonts w:eastAsia="Calibri"/>
                <w:sz w:val="20"/>
                <w:szCs w:val="20"/>
              </w:rPr>
            </w:pPr>
            <w:r w:rsidRPr="00B14DD3">
              <w:rPr>
                <w:sz w:val="20"/>
              </w:rPr>
              <w:t>Néant</w:t>
            </w:r>
          </w:p>
          <w:p w14:paraId="225C47B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3770D3" w14:textId="77777777" w:rsidR="00FA43C1" w:rsidRPr="00B14DD3" w:rsidRDefault="00166987">
            <w:pPr>
              <w:jc w:val="center"/>
              <w:rPr>
                <w:rFonts w:eastAsia="Calibri"/>
                <w:sz w:val="20"/>
                <w:szCs w:val="20"/>
              </w:rPr>
            </w:pPr>
            <w:r w:rsidRPr="00B14DD3">
              <w:rPr>
                <w:sz w:val="20"/>
              </w:rPr>
              <w:t xml:space="preserve">Médiocre </w:t>
            </w:r>
          </w:p>
          <w:p w14:paraId="6EF0347A"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1A26C2" w14:textId="77777777" w:rsidR="00FA43C1" w:rsidRPr="00B14DD3" w:rsidRDefault="00166987">
            <w:pPr>
              <w:jc w:val="center"/>
              <w:rPr>
                <w:rFonts w:eastAsia="Calibri"/>
                <w:sz w:val="20"/>
                <w:szCs w:val="20"/>
              </w:rPr>
            </w:pPr>
            <w:r w:rsidRPr="00B14DD3">
              <w:rPr>
                <w:sz w:val="20"/>
              </w:rPr>
              <w:t>Moyen</w:t>
            </w:r>
          </w:p>
          <w:p w14:paraId="564D8C7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12563E" w14:textId="77777777" w:rsidR="00FA43C1" w:rsidRPr="00B14DD3" w:rsidRDefault="00166987">
            <w:pPr>
              <w:jc w:val="center"/>
              <w:rPr>
                <w:rFonts w:eastAsia="Calibri"/>
                <w:sz w:val="20"/>
                <w:szCs w:val="20"/>
              </w:rPr>
            </w:pPr>
            <w:r w:rsidRPr="00B14DD3">
              <w:rPr>
                <w:sz w:val="20"/>
              </w:rPr>
              <w:t>Bon</w:t>
            </w:r>
          </w:p>
          <w:p w14:paraId="72837E6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946B2A" w14:textId="77777777" w:rsidR="00FA43C1" w:rsidRPr="00B14DD3" w:rsidRDefault="00166987">
            <w:pPr>
              <w:jc w:val="center"/>
              <w:rPr>
                <w:rFonts w:eastAsia="Calibri"/>
                <w:sz w:val="20"/>
                <w:szCs w:val="20"/>
              </w:rPr>
            </w:pPr>
            <w:r w:rsidRPr="00B14DD3">
              <w:rPr>
                <w:sz w:val="20"/>
              </w:rPr>
              <w:t>Très bon</w:t>
            </w:r>
          </w:p>
          <w:p w14:paraId="0DE003F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044503" w14:textId="77777777" w:rsidR="00FA43C1" w:rsidRPr="00B14DD3" w:rsidRDefault="00166987">
            <w:pPr>
              <w:jc w:val="center"/>
              <w:rPr>
                <w:rFonts w:eastAsia="Calibri"/>
                <w:sz w:val="20"/>
                <w:szCs w:val="20"/>
              </w:rPr>
            </w:pPr>
            <w:r w:rsidRPr="00B14DD3">
              <w:rPr>
                <w:sz w:val="20"/>
              </w:rPr>
              <w:t>Excellent</w:t>
            </w:r>
          </w:p>
          <w:p w14:paraId="4CD865B9"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FC7C7A" w:rsidRPr="00B14DD3" w14:paraId="15F4E09D"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075E" w14:textId="77777777" w:rsidR="00FA43C1" w:rsidRPr="00B14DD3" w:rsidRDefault="00166987">
            <w:pPr>
              <w:rPr>
                <w:rFonts w:eastAsia="Calibri"/>
                <w:color w:val="005F9A"/>
                <w:sz w:val="20"/>
                <w:szCs w:val="20"/>
              </w:rPr>
            </w:pPr>
            <w:r w:rsidRPr="00B14DD3">
              <w:rPr>
                <w:color w:val="005F9A"/>
                <w:sz w:val="20"/>
              </w:rPr>
              <w:t>Éléments à l'appui de l'évaluation :</w:t>
            </w:r>
          </w:p>
          <w:p w14:paraId="49F39656" w14:textId="77777777" w:rsidR="00FA43C1" w:rsidRPr="00B14DD3" w:rsidRDefault="00FA43C1">
            <w:pPr>
              <w:rPr>
                <w:rFonts w:eastAsia="Calibri"/>
                <w:color w:val="0000FF"/>
                <w:sz w:val="20"/>
                <w:szCs w:val="20"/>
              </w:rPr>
            </w:pPr>
          </w:p>
          <w:p w14:paraId="20DB3E61" w14:textId="77777777" w:rsidR="00FA43C1" w:rsidRPr="00B14DD3" w:rsidRDefault="00FA43C1">
            <w:pPr>
              <w:rPr>
                <w:rFonts w:eastAsia="Calibri"/>
                <w:color w:val="0000FF"/>
                <w:sz w:val="20"/>
                <w:szCs w:val="20"/>
              </w:rPr>
            </w:pPr>
          </w:p>
        </w:tc>
      </w:tr>
    </w:tbl>
    <w:p w14:paraId="6E59A48C" w14:textId="77777777" w:rsidR="00FA43C1" w:rsidRPr="00B14DD3" w:rsidRDefault="00166987" w:rsidP="00E0404A">
      <w:pPr>
        <w:pStyle w:val="Titre4"/>
      </w:pPr>
      <w:bookmarkStart w:id="26" w:name="_hkwr4hz2t018"/>
      <w:bookmarkEnd w:id="26"/>
      <w:r w:rsidRPr="00B14DD3">
        <w:t xml:space="preserve">Critère d'évaluation n° 2 : Promotion de la représentation des jeunes </w:t>
      </w:r>
    </w:p>
    <w:p w14:paraId="000A93F0" w14:textId="77777777" w:rsidR="00FA43C1" w:rsidRPr="00B14DD3" w:rsidRDefault="00166987" w:rsidP="00607BBD">
      <w:pPr>
        <w:keepNext/>
        <w:spacing w:line="240" w:lineRule="auto"/>
        <w:rPr>
          <w:sz w:val="20"/>
          <w:szCs w:val="20"/>
        </w:rPr>
      </w:pPr>
      <w:r w:rsidRPr="00B14DD3">
        <w:rPr>
          <w:sz w:val="20"/>
        </w:rPr>
        <w:t xml:space="preserve">Des mesures législatives et politiques sont prises pour promouvoir la représentation des jeunes au parlement. </w:t>
      </w:r>
    </w:p>
    <w:p w14:paraId="30DA0214"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C7C7A" w:rsidRPr="00B14DD3" w14:paraId="5FD6D73E"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8E9355" w14:textId="77777777" w:rsidR="00FA43C1" w:rsidRPr="00B14DD3" w:rsidRDefault="00166987">
            <w:pPr>
              <w:jc w:val="center"/>
              <w:rPr>
                <w:rFonts w:eastAsia="Calibri"/>
                <w:sz w:val="20"/>
                <w:szCs w:val="20"/>
              </w:rPr>
            </w:pPr>
            <w:r w:rsidRPr="00B14DD3">
              <w:rPr>
                <w:sz w:val="20"/>
              </w:rPr>
              <w:t>Néant</w:t>
            </w:r>
          </w:p>
          <w:p w14:paraId="16B6F1BB"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646236" w14:textId="77777777" w:rsidR="00FA43C1" w:rsidRPr="00B14DD3" w:rsidRDefault="00166987">
            <w:pPr>
              <w:jc w:val="center"/>
              <w:rPr>
                <w:rFonts w:eastAsia="Calibri"/>
                <w:sz w:val="20"/>
                <w:szCs w:val="20"/>
              </w:rPr>
            </w:pPr>
            <w:r w:rsidRPr="00B14DD3">
              <w:rPr>
                <w:sz w:val="20"/>
              </w:rPr>
              <w:t xml:space="preserve">Médiocre </w:t>
            </w:r>
          </w:p>
          <w:p w14:paraId="3D186BD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EDCFC0" w14:textId="77777777" w:rsidR="00FA43C1" w:rsidRPr="00B14DD3" w:rsidRDefault="00166987">
            <w:pPr>
              <w:jc w:val="center"/>
              <w:rPr>
                <w:rFonts w:eastAsia="Calibri"/>
                <w:sz w:val="20"/>
                <w:szCs w:val="20"/>
              </w:rPr>
            </w:pPr>
            <w:r w:rsidRPr="00B14DD3">
              <w:rPr>
                <w:sz w:val="20"/>
              </w:rPr>
              <w:t>Moyen</w:t>
            </w:r>
          </w:p>
          <w:p w14:paraId="7A47DEE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3E2765" w14:textId="77777777" w:rsidR="00FA43C1" w:rsidRPr="00B14DD3" w:rsidRDefault="00166987">
            <w:pPr>
              <w:jc w:val="center"/>
              <w:rPr>
                <w:rFonts w:eastAsia="Calibri"/>
                <w:sz w:val="20"/>
                <w:szCs w:val="20"/>
              </w:rPr>
            </w:pPr>
            <w:r w:rsidRPr="00B14DD3">
              <w:rPr>
                <w:sz w:val="20"/>
              </w:rPr>
              <w:t>Bon</w:t>
            </w:r>
          </w:p>
          <w:p w14:paraId="157A167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BBFB91" w14:textId="77777777" w:rsidR="00FA43C1" w:rsidRPr="00B14DD3" w:rsidRDefault="00166987">
            <w:pPr>
              <w:jc w:val="center"/>
              <w:rPr>
                <w:rFonts w:eastAsia="Calibri"/>
                <w:sz w:val="20"/>
                <w:szCs w:val="20"/>
              </w:rPr>
            </w:pPr>
            <w:r w:rsidRPr="00B14DD3">
              <w:rPr>
                <w:sz w:val="20"/>
              </w:rPr>
              <w:t>Très bon</w:t>
            </w:r>
          </w:p>
          <w:p w14:paraId="51AEAF9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92D307" w14:textId="77777777" w:rsidR="00FA43C1" w:rsidRPr="00B14DD3" w:rsidRDefault="00166987">
            <w:pPr>
              <w:jc w:val="center"/>
              <w:rPr>
                <w:rFonts w:eastAsia="Calibri"/>
                <w:sz w:val="20"/>
                <w:szCs w:val="20"/>
              </w:rPr>
            </w:pPr>
            <w:r w:rsidRPr="00B14DD3">
              <w:rPr>
                <w:sz w:val="20"/>
              </w:rPr>
              <w:t>Excellent</w:t>
            </w:r>
          </w:p>
          <w:p w14:paraId="5CB67C99"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FC7C7A" w:rsidRPr="00B14DD3" w14:paraId="635245B0"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C414F" w14:textId="77777777" w:rsidR="00FA43C1" w:rsidRPr="00B14DD3" w:rsidRDefault="00166987">
            <w:pPr>
              <w:rPr>
                <w:rFonts w:eastAsia="Calibri"/>
                <w:color w:val="005F9A"/>
                <w:sz w:val="20"/>
                <w:szCs w:val="20"/>
              </w:rPr>
            </w:pPr>
            <w:r w:rsidRPr="00B14DD3">
              <w:rPr>
                <w:color w:val="005F9A"/>
                <w:sz w:val="20"/>
              </w:rPr>
              <w:t>Éléments à l'appui de l'évaluation :</w:t>
            </w:r>
          </w:p>
          <w:p w14:paraId="01326119" w14:textId="77777777" w:rsidR="00FA43C1" w:rsidRPr="00B14DD3" w:rsidRDefault="00FA43C1">
            <w:pPr>
              <w:rPr>
                <w:rFonts w:eastAsia="Calibri"/>
                <w:color w:val="0000FF"/>
                <w:sz w:val="20"/>
                <w:szCs w:val="20"/>
              </w:rPr>
            </w:pPr>
          </w:p>
          <w:p w14:paraId="04C3B70E" w14:textId="77777777" w:rsidR="00FA43C1" w:rsidRPr="00B14DD3" w:rsidRDefault="00FA43C1">
            <w:pPr>
              <w:rPr>
                <w:rFonts w:eastAsia="Calibri"/>
                <w:color w:val="0000FF"/>
                <w:sz w:val="20"/>
                <w:szCs w:val="20"/>
              </w:rPr>
            </w:pPr>
          </w:p>
        </w:tc>
      </w:tr>
    </w:tbl>
    <w:p w14:paraId="66485FB6" w14:textId="77777777" w:rsidR="00FA43C1" w:rsidRPr="00B14DD3" w:rsidRDefault="00166987" w:rsidP="00E0404A">
      <w:pPr>
        <w:pStyle w:val="Titre4"/>
      </w:pPr>
      <w:bookmarkStart w:id="27" w:name="_dtccaorit9re"/>
      <w:bookmarkEnd w:id="27"/>
      <w:r w:rsidRPr="00B14DD3">
        <w:t>Critère d'évaluation n° 3 : Instances traitant des questions relatives aux jeunes</w:t>
      </w:r>
    </w:p>
    <w:p w14:paraId="018CC3DB" w14:textId="77777777" w:rsidR="00FA43C1" w:rsidRPr="00B14DD3" w:rsidRDefault="00166987" w:rsidP="003A5991">
      <w:pPr>
        <w:spacing w:line="240" w:lineRule="auto"/>
        <w:rPr>
          <w:sz w:val="20"/>
          <w:szCs w:val="20"/>
        </w:rPr>
      </w:pPr>
      <w:r w:rsidRPr="00B14DD3">
        <w:rPr>
          <w:sz w:val="20"/>
        </w:rPr>
        <w:t>Des instances parlementaires telles que des commissions, des forums ou des réseaux de jeunes parlementaires sont chargées des questions relatives aux jeunes.</w:t>
      </w:r>
    </w:p>
    <w:p w14:paraId="104249E8" w14:textId="77777777" w:rsidR="00FA43C1" w:rsidRPr="00B14DD3" w:rsidRDefault="00FA43C1" w:rsidP="003A5991">
      <w:pPr>
        <w:spacing w:line="240" w:lineRule="auto"/>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C7C7A" w:rsidRPr="00B14DD3" w14:paraId="3D60A3AC"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19F63D" w14:textId="77777777" w:rsidR="00FA43C1" w:rsidRPr="00B14DD3" w:rsidRDefault="00166987">
            <w:pPr>
              <w:jc w:val="center"/>
              <w:rPr>
                <w:rFonts w:eastAsia="Calibri"/>
                <w:sz w:val="20"/>
                <w:szCs w:val="20"/>
              </w:rPr>
            </w:pPr>
            <w:r w:rsidRPr="00B14DD3">
              <w:rPr>
                <w:sz w:val="20"/>
              </w:rPr>
              <w:t>Néant</w:t>
            </w:r>
          </w:p>
          <w:p w14:paraId="310866E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607AE5" w14:textId="77777777" w:rsidR="00FA43C1" w:rsidRPr="00B14DD3" w:rsidRDefault="00166987">
            <w:pPr>
              <w:jc w:val="center"/>
              <w:rPr>
                <w:rFonts w:eastAsia="Calibri"/>
                <w:sz w:val="20"/>
                <w:szCs w:val="20"/>
              </w:rPr>
            </w:pPr>
            <w:r w:rsidRPr="00B14DD3">
              <w:rPr>
                <w:sz w:val="20"/>
              </w:rPr>
              <w:t xml:space="preserve">Médiocre </w:t>
            </w:r>
          </w:p>
          <w:p w14:paraId="525767E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9D20B" w14:textId="77777777" w:rsidR="00FA43C1" w:rsidRPr="00B14DD3" w:rsidRDefault="00166987">
            <w:pPr>
              <w:jc w:val="center"/>
              <w:rPr>
                <w:rFonts w:eastAsia="Calibri"/>
                <w:sz w:val="20"/>
                <w:szCs w:val="20"/>
              </w:rPr>
            </w:pPr>
            <w:r w:rsidRPr="00B14DD3">
              <w:rPr>
                <w:sz w:val="20"/>
              </w:rPr>
              <w:t>Moyen</w:t>
            </w:r>
          </w:p>
          <w:p w14:paraId="0B3BFAF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1893A7" w14:textId="77777777" w:rsidR="00FA43C1" w:rsidRPr="00B14DD3" w:rsidRDefault="00166987">
            <w:pPr>
              <w:jc w:val="center"/>
              <w:rPr>
                <w:rFonts w:eastAsia="Calibri"/>
                <w:sz w:val="20"/>
                <w:szCs w:val="20"/>
              </w:rPr>
            </w:pPr>
            <w:r w:rsidRPr="00B14DD3">
              <w:rPr>
                <w:sz w:val="20"/>
              </w:rPr>
              <w:t>Bon</w:t>
            </w:r>
          </w:p>
          <w:p w14:paraId="24E53C0C"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3D4BB0" w14:textId="77777777" w:rsidR="00FA43C1" w:rsidRPr="00B14DD3" w:rsidRDefault="00166987">
            <w:pPr>
              <w:jc w:val="center"/>
              <w:rPr>
                <w:rFonts w:eastAsia="Calibri"/>
                <w:sz w:val="20"/>
                <w:szCs w:val="20"/>
              </w:rPr>
            </w:pPr>
            <w:r w:rsidRPr="00B14DD3">
              <w:rPr>
                <w:sz w:val="20"/>
              </w:rPr>
              <w:t>Très bon</w:t>
            </w:r>
          </w:p>
          <w:p w14:paraId="0F8D62AD"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E0F421E" w14:textId="77777777" w:rsidR="00FA43C1" w:rsidRPr="00B14DD3" w:rsidRDefault="00166987">
            <w:pPr>
              <w:jc w:val="center"/>
              <w:rPr>
                <w:rFonts w:eastAsia="Calibri"/>
                <w:sz w:val="20"/>
                <w:szCs w:val="20"/>
              </w:rPr>
            </w:pPr>
            <w:r w:rsidRPr="00B14DD3">
              <w:rPr>
                <w:sz w:val="20"/>
              </w:rPr>
              <w:t>Excellent</w:t>
            </w:r>
          </w:p>
          <w:p w14:paraId="6A68465F"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FC7C7A" w:rsidRPr="00B14DD3" w14:paraId="0C403A6B"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3CC4F" w14:textId="77777777" w:rsidR="00FA43C1" w:rsidRPr="00B14DD3" w:rsidRDefault="00166987">
            <w:pPr>
              <w:rPr>
                <w:rFonts w:eastAsia="Calibri"/>
                <w:color w:val="005F9A"/>
                <w:sz w:val="20"/>
                <w:szCs w:val="20"/>
              </w:rPr>
            </w:pPr>
            <w:r w:rsidRPr="00B14DD3">
              <w:rPr>
                <w:color w:val="005F9A"/>
                <w:sz w:val="20"/>
              </w:rPr>
              <w:t>Éléments à l'appui de l'évaluation :</w:t>
            </w:r>
          </w:p>
          <w:p w14:paraId="5871CFD5" w14:textId="77777777" w:rsidR="00FA43C1" w:rsidRPr="00B14DD3" w:rsidRDefault="00FA43C1">
            <w:pPr>
              <w:rPr>
                <w:rFonts w:eastAsia="Calibri"/>
                <w:color w:val="0000FF"/>
                <w:sz w:val="20"/>
                <w:szCs w:val="20"/>
              </w:rPr>
            </w:pPr>
          </w:p>
          <w:p w14:paraId="213F161E" w14:textId="77777777" w:rsidR="00FA43C1" w:rsidRPr="00B14DD3" w:rsidRDefault="00FA43C1">
            <w:pPr>
              <w:rPr>
                <w:rFonts w:eastAsia="Calibri"/>
                <w:color w:val="0000FF"/>
                <w:sz w:val="20"/>
                <w:szCs w:val="20"/>
              </w:rPr>
            </w:pPr>
          </w:p>
        </w:tc>
      </w:tr>
    </w:tbl>
    <w:p w14:paraId="170DD338" w14:textId="77777777" w:rsidR="00FA43C1" w:rsidRPr="00B14DD3" w:rsidRDefault="00166987" w:rsidP="00E0404A">
      <w:pPr>
        <w:pStyle w:val="Titre4"/>
      </w:pPr>
      <w:bookmarkStart w:id="28" w:name="_ju0rwitu9vrp"/>
      <w:bookmarkEnd w:id="28"/>
      <w:r w:rsidRPr="00B14DD3">
        <w:t>Critère d'évaluation n° 4 : Environnement porteur pour les jeunes parlementaires</w:t>
      </w:r>
    </w:p>
    <w:p w14:paraId="086CD59A" w14:textId="77777777" w:rsidR="00FA43C1" w:rsidRPr="00B14DD3" w:rsidRDefault="00166987" w:rsidP="003A5991">
      <w:pPr>
        <w:spacing w:line="240" w:lineRule="auto"/>
        <w:rPr>
          <w:sz w:val="20"/>
          <w:szCs w:val="20"/>
        </w:rPr>
      </w:pPr>
      <w:r w:rsidRPr="00B14DD3">
        <w:rPr>
          <w:sz w:val="20"/>
        </w:rPr>
        <w:t>Le parlement constitue un environnement porteur pour les jeunes parlementaires, notamment grâce à la mise à disposition d'offres de formation et de mentorat.</w:t>
      </w:r>
    </w:p>
    <w:p w14:paraId="524B28A5"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C7C7A" w:rsidRPr="00B14DD3" w14:paraId="63655C82"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632885" w14:textId="77777777" w:rsidR="00FA43C1" w:rsidRPr="00B14DD3" w:rsidRDefault="00166987">
            <w:pPr>
              <w:jc w:val="center"/>
              <w:rPr>
                <w:rFonts w:eastAsia="Calibri"/>
                <w:sz w:val="20"/>
                <w:szCs w:val="20"/>
              </w:rPr>
            </w:pPr>
            <w:r w:rsidRPr="00B14DD3">
              <w:rPr>
                <w:sz w:val="20"/>
              </w:rPr>
              <w:t>Néant</w:t>
            </w:r>
          </w:p>
          <w:p w14:paraId="7F16435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225652" w14:textId="77777777" w:rsidR="00FA43C1" w:rsidRPr="00B14DD3" w:rsidRDefault="00166987">
            <w:pPr>
              <w:jc w:val="center"/>
              <w:rPr>
                <w:rFonts w:eastAsia="Calibri"/>
                <w:sz w:val="20"/>
                <w:szCs w:val="20"/>
              </w:rPr>
            </w:pPr>
            <w:r w:rsidRPr="00B14DD3">
              <w:rPr>
                <w:sz w:val="20"/>
              </w:rPr>
              <w:t xml:space="preserve">Médiocre </w:t>
            </w:r>
          </w:p>
          <w:p w14:paraId="0456490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3D5993" w14:textId="77777777" w:rsidR="00FA43C1" w:rsidRPr="00B14DD3" w:rsidRDefault="00166987">
            <w:pPr>
              <w:jc w:val="center"/>
              <w:rPr>
                <w:rFonts w:eastAsia="Calibri"/>
                <w:sz w:val="20"/>
                <w:szCs w:val="20"/>
              </w:rPr>
            </w:pPr>
            <w:r w:rsidRPr="00B14DD3">
              <w:rPr>
                <w:sz w:val="20"/>
              </w:rPr>
              <w:t>Moyen</w:t>
            </w:r>
          </w:p>
          <w:p w14:paraId="35A2652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0F2950" w14:textId="77777777" w:rsidR="00FA43C1" w:rsidRPr="00B14DD3" w:rsidRDefault="00166987">
            <w:pPr>
              <w:jc w:val="center"/>
              <w:rPr>
                <w:rFonts w:eastAsia="Calibri"/>
                <w:sz w:val="20"/>
                <w:szCs w:val="20"/>
              </w:rPr>
            </w:pPr>
            <w:r w:rsidRPr="00B14DD3">
              <w:rPr>
                <w:sz w:val="20"/>
              </w:rPr>
              <w:t>Bon</w:t>
            </w:r>
          </w:p>
          <w:p w14:paraId="0AB0B8FC"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B543A2" w14:textId="77777777" w:rsidR="00FA43C1" w:rsidRPr="00B14DD3" w:rsidRDefault="00166987">
            <w:pPr>
              <w:jc w:val="center"/>
              <w:rPr>
                <w:rFonts w:eastAsia="Calibri"/>
                <w:sz w:val="20"/>
                <w:szCs w:val="20"/>
              </w:rPr>
            </w:pPr>
            <w:r w:rsidRPr="00B14DD3">
              <w:rPr>
                <w:sz w:val="20"/>
              </w:rPr>
              <w:t>Très bon</w:t>
            </w:r>
          </w:p>
          <w:p w14:paraId="1CF07E83"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1322734" w14:textId="77777777" w:rsidR="00FA43C1" w:rsidRPr="00B14DD3" w:rsidRDefault="00166987">
            <w:pPr>
              <w:jc w:val="center"/>
              <w:rPr>
                <w:rFonts w:eastAsia="Calibri"/>
                <w:sz w:val="20"/>
                <w:szCs w:val="20"/>
              </w:rPr>
            </w:pPr>
            <w:r w:rsidRPr="00B14DD3">
              <w:rPr>
                <w:sz w:val="20"/>
              </w:rPr>
              <w:t>Excellent</w:t>
            </w:r>
          </w:p>
          <w:p w14:paraId="0C16D7E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FC7C7A" w:rsidRPr="00B14DD3" w14:paraId="4EAC15ED"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ACBC8" w14:textId="77777777" w:rsidR="00FA43C1" w:rsidRPr="00B14DD3" w:rsidRDefault="00166987">
            <w:pPr>
              <w:rPr>
                <w:rFonts w:eastAsia="Calibri"/>
                <w:color w:val="005F9A"/>
                <w:sz w:val="20"/>
                <w:szCs w:val="20"/>
              </w:rPr>
            </w:pPr>
            <w:r w:rsidRPr="00B14DD3">
              <w:rPr>
                <w:color w:val="005F9A"/>
                <w:sz w:val="20"/>
              </w:rPr>
              <w:t>Éléments à l'appui de l'évaluation :</w:t>
            </w:r>
          </w:p>
          <w:p w14:paraId="4788885B" w14:textId="77777777" w:rsidR="00FA43C1" w:rsidRPr="00B14DD3" w:rsidRDefault="00FA43C1">
            <w:pPr>
              <w:rPr>
                <w:rFonts w:eastAsia="Calibri"/>
                <w:color w:val="0000FF"/>
                <w:sz w:val="20"/>
                <w:szCs w:val="20"/>
              </w:rPr>
            </w:pPr>
          </w:p>
          <w:p w14:paraId="5BE3D696" w14:textId="77777777" w:rsidR="00FA43C1" w:rsidRPr="00B14DD3" w:rsidRDefault="00FA43C1">
            <w:pPr>
              <w:rPr>
                <w:rFonts w:eastAsia="Calibri"/>
                <w:color w:val="0000FF"/>
                <w:sz w:val="20"/>
                <w:szCs w:val="20"/>
              </w:rPr>
            </w:pPr>
          </w:p>
        </w:tc>
      </w:tr>
    </w:tbl>
    <w:p w14:paraId="3AD21258" w14:textId="77777777" w:rsidR="00FA43C1" w:rsidRPr="00B14DD3" w:rsidRDefault="00166987" w:rsidP="00E0404A">
      <w:pPr>
        <w:pStyle w:val="Titre4"/>
      </w:pPr>
      <w:bookmarkStart w:id="29" w:name="_ccae7brzdobc"/>
      <w:bookmarkStart w:id="30" w:name="_49x2ik5"/>
      <w:bookmarkStart w:id="31" w:name="_vlrgzafo7q8w"/>
      <w:bookmarkEnd w:id="29"/>
      <w:bookmarkEnd w:id="30"/>
      <w:bookmarkEnd w:id="31"/>
      <w:r w:rsidRPr="00B14DD3">
        <w:t>Critère d'évaluation n° 5 : Pratique</w:t>
      </w:r>
    </w:p>
    <w:p w14:paraId="28168D5E" w14:textId="64AD0A23" w:rsidR="00FA43C1" w:rsidRPr="00B14DD3" w:rsidRDefault="00166987" w:rsidP="003A5991">
      <w:pPr>
        <w:spacing w:line="240" w:lineRule="auto"/>
        <w:rPr>
          <w:sz w:val="20"/>
          <w:szCs w:val="20"/>
        </w:rPr>
      </w:pPr>
      <w:r w:rsidRPr="00B14DD3">
        <w:rPr>
          <w:sz w:val="20"/>
        </w:rPr>
        <w:t xml:space="preserve">Dans la pratique, le parlement s'engage en faveur de l'accroissement de la représentation </w:t>
      </w:r>
      <w:r w:rsidR="007A4C6F" w:rsidRPr="00B14DD3">
        <w:rPr>
          <w:sz w:val="20"/>
        </w:rPr>
        <w:t xml:space="preserve">parlementaire </w:t>
      </w:r>
      <w:r w:rsidRPr="00B14DD3">
        <w:rPr>
          <w:sz w:val="20"/>
        </w:rPr>
        <w:t>des jeunes. Au cours des trois derni</w:t>
      </w:r>
      <w:r w:rsidR="005D38B2">
        <w:rPr>
          <w:sz w:val="20"/>
        </w:rPr>
        <w:t>ères législatures</w:t>
      </w:r>
      <w:r w:rsidR="005D38B2">
        <w:rPr>
          <w:rStyle w:val="Marquedecommentaire"/>
        </w:rPr>
        <w:t>,</w:t>
      </w:r>
      <w:r w:rsidRPr="00B14DD3">
        <w:rPr>
          <w:sz w:val="20"/>
        </w:rPr>
        <w:t xml:space="preserve"> </w:t>
      </w:r>
      <w:r w:rsidR="007A4C6F" w:rsidRPr="00B14DD3">
        <w:rPr>
          <w:sz w:val="20"/>
        </w:rPr>
        <w:t xml:space="preserve">tant </w:t>
      </w:r>
      <w:r w:rsidRPr="00B14DD3">
        <w:rPr>
          <w:sz w:val="20"/>
        </w:rPr>
        <w:t xml:space="preserve">le nombre </w:t>
      </w:r>
      <w:r w:rsidR="007A4C6F" w:rsidRPr="00B14DD3">
        <w:rPr>
          <w:sz w:val="20"/>
        </w:rPr>
        <w:t xml:space="preserve">que </w:t>
      </w:r>
      <w:r w:rsidRPr="00B14DD3">
        <w:rPr>
          <w:sz w:val="20"/>
        </w:rPr>
        <w:t>la proportion de sièges détenus par des parlementaires de moins de 45, 40 et 30 ans ont augmenté.</w:t>
      </w:r>
    </w:p>
    <w:p w14:paraId="043A08FF"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C7C7A" w:rsidRPr="00B14DD3" w14:paraId="4BF46F78"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77DACE" w14:textId="77777777" w:rsidR="00FA43C1" w:rsidRPr="00B14DD3" w:rsidRDefault="00166987">
            <w:pPr>
              <w:jc w:val="center"/>
              <w:rPr>
                <w:rFonts w:eastAsia="Calibri"/>
                <w:sz w:val="20"/>
                <w:szCs w:val="20"/>
              </w:rPr>
            </w:pPr>
            <w:bookmarkStart w:id="32" w:name="_vgk7n2wgo2n3"/>
            <w:bookmarkEnd w:id="32"/>
            <w:r w:rsidRPr="00B14DD3">
              <w:rPr>
                <w:sz w:val="20"/>
              </w:rPr>
              <w:t>Néant</w:t>
            </w:r>
          </w:p>
          <w:p w14:paraId="2E11E53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92E9F5" w14:textId="77777777" w:rsidR="00FA43C1" w:rsidRPr="00B14DD3" w:rsidRDefault="00166987">
            <w:pPr>
              <w:jc w:val="center"/>
              <w:rPr>
                <w:rFonts w:eastAsia="Calibri"/>
                <w:sz w:val="20"/>
                <w:szCs w:val="20"/>
              </w:rPr>
            </w:pPr>
            <w:r w:rsidRPr="00B14DD3">
              <w:rPr>
                <w:sz w:val="20"/>
              </w:rPr>
              <w:t xml:space="preserve">Médiocre </w:t>
            </w:r>
          </w:p>
          <w:p w14:paraId="422655B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B21A2D" w14:textId="77777777" w:rsidR="00FA43C1" w:rsidRPr="00B14DD3" w:rsidRDefault="00166987">
            <w:pPr>
              <w:jc w:val="center"/>
              <w:rPr>
                <w:rFonts w:eastAsia="Calibri"/>
                <w:sz w:val="20"/>
                <w:szCs w:val="20"/>
              </w:rPr>
            </w:pPr>
            <w:r w:rsidRPr="00B14DD3">
              <w:rPr>
                <w:sz w:val="20"/>
              </w:rPr>
              <w:t>Moyen</w:t>
            </w:r>
          </w:p>
          <w:p w14:paraId="72A316FF"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B62EFE" w14:textId="77777777" w:rsidR="00FA43C1" w:rsidRPr="00B14DD3" w:rsidRDefault="00166987">
            <w:pPr>
              <w:jc w:val="center"/>
              <w:rPr>
                <w:rFonts w:eastAsia="Calibri"/>
                <w:sz w:val="20"/>
                <w:szCs w:val="20"/>
              </w:rPr>
            </w:pPr>
            <w:r w:rsidRPr="00B14DD3">
              <w:rPr>
                <w:sz w:val="20"/>
              </w:rPr>
              <w:t>Bon</w:t>
            </w:r>
          </w:p>
          <w:p w14:paraId="6935B7F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DE6128" w14:textId="77777777" w:rsidR="00FA43C1" w:rsidRPr="00B14DD3" w:rsidRDefault="00166987">
            <w:pPr>
              <w:jc w:val="center"/>
              <w:rPr>
                <w:rFonts w:eastAsia="Calibri"/>
                <w:sz w:val="20"/>
                <w:szCs w:val="20"/>
              </w:rPr>
            </w:pPr>
            <w:r w:rsidRPr="00B14DD3">
              <w:rPr>
                <w:sz w:val="20"/>
              </w:rPr>
              <w:t>Très bon</w:t>
            </w:r>
          </w:p>
          <w:p w14:paraId="0A4215C0"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490E8A" w14:textId="77777777" w:rsidR="00FA43C1" w:rsidRPr="00B14DD3" w:rsidRDefault="00166987">
            <w:pPr>
              <w:jc w:val="center"/>
              <w:rPr>
                <w:rFonts w:eastAsia="Calibri"/>
                <w:sz w:val="20"/>
                <w:szCs w:val="20"/>
              </w:rPr>
            </w:pPr>
            <w:r w:rsidRPr="00B14DD3">
              <w:rPr>
                <w:sz w:val="20"/>
              </w:rPr>
              <w:t>Excellent</w:t>
            </w:r>
          </w:p>
          <w:p w14:paraId="21BF88EB"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FC7C7A" w:rsidRPr="00B14DD3" w14:paraId="73C57FC2"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52F19" w14:textId="77777777" w:rsidR="00FA43C1" w:rsidRPr="00B14DD3" w:rsidRDefault="00166987">
            <w:pPr>
              <w:rPr>
                <w:rFonts w:eastAsia="Calibri"/>
                <w:color w:val="005F9A"/>
                <w:sz w:val="20"/>
                <w:szCs w:val="20"/>
              </w:rPr>
            </w:pPr>
            <w:r w:rsidRPr="00B14DD3">
              <w:rPr>
                <w:color w:val="005F9A"/>
                <w:sz w:val="20"/>
              </w:rPr>
              <w:t>Éléments à l'appui de l'évaluation :</w:t>
            </w:r>
          </w:p>
          <w:p w14:paraId="73CCD07C" w14:textId="77777777" w:rsidR="00FA43C1" w:rsidRPr="00B14DD3" w:rsidRDefault="00FA43C1">
            <w:pPr>
              <w:rPr>
                <w:rFonts w:eastAsia="Calibri"/>
                <w:color w:val="0000FF"/>
                <w:sz w:val="20"/>
                <w:szCs w:val="20"/>
              </w:rPr>
            </w:pPr>
          </w:p>
          <w:p w14:paraId="13670F60" w14:textId="77777777" w:rsidR="00FA43C1" w:rsidRPr="00B14DD3" w:rsidRDefault="00FA43C1">
            <w:pPr>
              <w:rPr>
                <w:rFonts w:eastAsia="Calibri"/>
                <w:color w:val="0000FF"/>
                <w:sz w:val="20"/>
                <w:szCs w:val="20"/>
              </w:rPr>
            </w:pPr>
          </w:p>
        </w:tc>
      </w:tr>
    </w:tbl>
    <w:p w14:paraId="7AC323EB" w14:textId="77777777" w:rsidR="00FA43C1" w:rsidRPr="00B14DD3" w:rsidRDefault="00FA43C1" w:rsidP="003A5991">
      <w:pPr>
        <w:spacing w:line="240" w:lineRule="auto"/>
        <w:rPr>
          <w:sz w:val="20"/>
          <w:szCs w:val="20"/>
        </w:rPr>
      </w:pPr>
    </w:p>
    <w:p w14:paraId="2B45E4AF" w14:textId="77777777" w:rsidR="00FA43C1" w:rsidRPr="00B14DD3" w:rsidRDefault="00166987" w:rsidP="005348E3">
      <w:pPr>
        <w:pStyle w:val="section-title"/>
      </w:pPr>
      <w:bookmarkStart w:id="33" w:name="_2p2csry"/>
      <w:bookmarkEnd w:id="33"/>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FC7C7A" w:rsidRPr="00B14DD3" w14:paraId="7340AB98"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362E039" w14:textId="77777777" w:rsidR="00FA43C1" w:rsidRPr="00B14DD3" w:rsidRDefault="00166987" w:rsidP="002C74AC">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1303CB9A" w14:textId="77777777" w:rsidR="00FA43C1" w:rsidRPr="00B14DD3" w:rsidRDefault="00FA43C1" w:rsidP="003A5991">
      <w:pPr>
        <w:spacing w:line="240" w:lineRule="auto"/>
        <w:rPr>
          <w:sz w:val="20"/>
          <w:szCs w:val="20"/>
        </w:rPr>
      </w:pPr>
    </w:p>
    <w:p w14:paraId="13A67D48" w14:textId="77777777" w:rsidR="00FA43C1" w:rsidRPr="00B14DD3" w:rsidRDefault="00166987" w:rsidP="005348E3">
      <w:pPr>
        <w:pStyle w:val="Dimension"/>
      </w:pPr>
      <w:bookmarkStart w:id="34" w:name="_3o7alnk"/>
      <w:bookmarkEnd w:id="34"/>
      <w:r w:rsidRPr="00B14DD3">
        <w:t>Aspect 7.2.4 : Représentation des autres groupes sous-représentés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507D4" w:rsidRPr="00B14DD3" w14:paraId="2639BDBA" w14:textId="77777777" w:rsidTr="002C74AC">
        <w:tc>
          <w:tcPr>
            <w:tcW w:w="9120" w:type="dxa"/>
            <w:shd w:val="clear" w:color="auto" w:fill="EEEEEE"/>
          </w:tcPr>
          <w:p w14:paraId="7520FEAE" w14:textId="77777777" w:rsidR="00FA43C1" w:rsidRPr="00B14DD3" w:rsidRDefault="00166987" w:rsidP="002C74AC">
            <w:pPr>
              <w:spacing w:line="240" w:lineRule="auto"/>
              <w:rPr>
                <w:sz w:val="20"/>
                <w:szCs w:val="20"/>
              </w:rPr>
            </w:pPr>
            <w:r w:rsidRPr="00B14DD3">
              <w:rPr>
                <w:sz w:val="20"/>
              </w:rPr>
              <w:t>Cet aspect s'applique aux éléments suivants :</w:t>
            </w:r>
          </w:p>
          <w:p w14:paraId="0DD75D03" w14:textId="77777777" w:rsidR="00FA43C1" w:rsidRPr="00B14DD3" w:rsidRDefault="00166987" w:rsidP="002C74AC">
            <w:pPr>
              <w:pStyle w:val="Paragraphedeliste"/>
              <w:numPr>
                <w:ilvl w:val="0"/>
                <w:numId w:val="17"/>
              </w:numPr>
              <w:spacing w:line="240" w:lineRule="auto"/>
              <w:rPr>
                <w:rFonts w:eastAsia="Calibri" w:cs="Calibri"/>
                <w:sz w:val="20"/>
                <w:szCs w:val="20"/>
              </w:rPr>
            </w:pPr>
            <w:r w:rsidRPr="00B14DD3">
              <w:rPr>
                <w:sz w:val="20"/>
              </w:rPr>
              <w:t>Indicateur 7.2 : Intégrité des élections</w:t>
            </w:r>
          </w:p>
          <w:p w14:paraId="1A18030D" w14:textId="77777777" w:rsidR="00FA43C1" w:rsidRPr="00B14DD3" w:rsidRDefault="00166987" w:rsidP="002C74AC">
            <w:pPr>
              <w:pStyle w:val="Paragraphedeliste"/>
              <w:numPr>
                <w:ilvl w:val="0"/>
                <w:numId w:val="17"/>
              </w:numPr>
              <w:spacing w:line="240" w:lineRule="auto"/>
              <w:rPr>
                <w:rFonts w:eastAsia="Calibri" w:cs="Calibri"/>
                <w:sz w:val="24"/>
                <w:szCs w:val="20"/>
              </w:rPr>
            </w:pPr>
            <w:r w:rsidRPr="00B14DD3">
              <w:rPr>
                <w:sz w:val="20"/>
              </w:rPr>
              <w:t>Cible 7 : Des parlements représentatifs</w:t>
            </w:r>
          </w:p>
        </w:tc>
      </w:tr>
    </w:tbl>
    <w:p w14:paraId="10303E4C" w14:textId="77777777" w:rsidR="00FA43C1" w:rsidRPr="00B14DD3" w:rsidRDefault="00166987" w:rsidP="005348E3">
      <w:pPr>
        <w:pStyle w:val="section-title"/>
      </w:pPr>
      <w:r w:rsidRPr="00B14DD3">
        <w:t xml:space="preserve">À propos de l'aspect </w:t>
      </w:r>
    </w:p>
    <w:p w14:paraId="25D2A627" w14:textId="77777777" w:rsidR="00FA43C1" w:rsidRPr="00B14DD3" w:rsidRDefault="00166987" w:rsidP="00FA2E74">
      <w:pPr>
        <w:spacing w:line="240" w:lineRule="auto"/>
        <w:rPr>
          <w:sz w:val="20"/>
          <w:szCs w:val="20"/>
        </w:rPr>
      </w:pPr>
      <w:r w:rsidRPr="00B14DD3">
        <w:rPr>
          <w:sz w:val="20"/>
        </w:rPr>
        <w:t xml:space="preserve">Cet aspect concerne la représentation des groupes susceptibles d'être sous-représentés au parlement. La définition de "groupes sous-représentés" dépend dans une large mesure du contexte de chaque pays, mais elle comprend en général les minorités nationales, ethniques, religieuses et linguistiques, les populations autochtones et d'autres groupes sociaux se trouvant en situation de vulnérabilité. Les groupes sous-représentés sont souvent confrontés à la marginalisation et souffrent de façon disproportionnée de la pauvreté, du chômage, ainsi que d'un accès limité à une éducation et des soins de santé de qualité. La représentation parlementaire constitue une étape importante pour surmonter ces difficultés et garantir une égalité plus large. </w:t>
      </w:r>
    </w:p>
    <w:p w14:paraId="1D3CF705" w14:textId="77777777" w:rsidR="00FA43C1" w:rsidRPr="00B14DD3" w:rsidRDefault="00FA43C1" w:rsidP="003A5991">
      <w:pPr>
        <w:spacing w:line="240" w:lineRule="auto"/>
        <w:rPr>
          <w:sz w:val="20"/>
          <w:szCs w:val="20"/>
        </w:rPr>
      </w:pPr>
    </w:p>
    <w:p w14:paraId="46DD2DEB" w14:textId="3D4FA2A1" w:rsidR="00FA43C1" w:rsidRPr="00B14DD3" w:rsidRDefault="00166987" w:rsidP="00570317">
      <w:pPr>
        <w:spacing w:line="240" w:lineRule="auto"/>
        <w:rPr>
          <w:sz w:val="20"/>
        </w:rPr>
      </w:pPr>
      <w:r w:rsidRPr="00B14DD3">
        <w:rPr>
          <w:sz w:val="20"/>
        </w:rPr>
        <w:t xml:space="preserve">Les mécanismes visant à promouvoir la représentation des groupes sous-représentés varient en fonction des pays. </w:t>
      </w:r>
      <w:r w:rsidR="00124C1A" w:rsidRPr="00B14DD3">
        <w:rPr>
          <w:sz w:val="20"/>
        </w:rPr>
        <w:t xml:space="preserve">Pour </w:t>
      </w:r>
      <w:r w:rsidRPr="00B14DD3">
        <w:rPr>
          <w:sz w:val="20"/>
        </w:rPr>
        <w:t>garanti</w:t>
      </w:r>
      <w:r w:rsidR="00124C1A" w:rsidRPr="00B14DD3">
        <w:rPr>
          <w:sz w:val="20"/>
        </w:rPr>
        <w:t>r</w:t>
      </w:r>
      <w:r w:rsidRPr="00B14DD3">
        <w:rPr>
          <w:sz w:val="20"/>
        </w:rPr>
        <w:t xml:space="preserve"> la représentation parlementaire des groupes minoritaires et autochtones, </w:t>
      </w:r>
      <w:r w:rsidR="00124C1A" w:rsidRPr="00B14DD3">
        <w:rPr>
          <w:sz w:val="20"/>
        </w:rPr>
        <w:t>il est souvent fait appel à des mesures spéciales, telles que l</w:t>
      </w:r>
      <w:r w:rsidRPr="00B14DD3">
        <w:rPr>
          <w:sz w:val="20"/>
        </w:rPr>
        <w:t xml:space="preserve">es sièges réservés. Certains systèmes autorisent la formation de groupes politiques sur la base de l'identité ethnique, religieuse ou linguistique, ce qui est interdit dans d'autres pays. </w:t>
      </w:r>
    </w:p>
    <w:p w14:paraId="2E376591" w14:textId="77777777" w:rsidR="00FA43C1" w:rsidRPr="00B14DD3" w:rsidRDefault="00FA43C1" w:rsidP="00570317">
      <w:pPr>
        <w:spacing w:line="240" w:lineRule="auto"/>
        <w:rPr>
          <w:sz w:val="20"/>
        </w:rPr>
      </w:pPr>
    </w:p>
    <w:p w14:paraId="1E40334F" w14:textId="77777777" w:rsidR="00FA43C1" w:rsidRPr="00B14DD3" w:rsidRDefault="00166987" w:rsidP="00570317">
      <w:pPr>
        <w:spacing w:line="240" w:lineRule="auto"/>
        <w:rPr>
          <w:sz w:val="20"/>
        </w:rPr>
      </w:pPr>
      <w:r w:rsidRPr="00B14DD3">
        <w:rPr>
          <w:sz w:val="20"/>
        </w:rPr>
        <w:t xml:space="preserve">Du fait de leur base numériquement étroite, le nombre de parlementaires représentant les groupes minoritaires est en général réduit. Le parlement devrait réfléchir aux solutions permettant de garantir la participation équitable de ces parlementaires à ses activités. </w:t>
      </w:r>
    </w:p>
    <w:p w14:paraId="1FFD2A0E" w14:textId="77777777" w:rsidR="00FA43C1" w:rsidRPr="00B14DD3" w:rsidRDefault="00FA43C1" w:rsidP="00570317">
      <w:pPr>
        <w:spacing w:line="240" w:lineRule="auto"/>
        <w:rPr>
          <w:sz w:val="20"/>
        </w:rPr>
      </w:pPr>
    </w:p>
    <w:p w14:paraId="7E1995E7" w14:textId="4368405B" w:rsidR="00FA43C1" w:rsidRPr="00B14DD3" w:rsidRDefault="00166987" w:rsidP="003A5991">
      <w:pPr>
        <w:spacing w:line="240" w:lineRule="auto"/>
        <w:rPr>
          <w:sz w:val="20"/>
          <w:szCs w:val="20"/>
        </w:rPr>
      </w:pPr>
      <w:r w:rsidRPr="00B14DD3">
        <w:rPr>
          <w:sz w:val="20"/>
        </w:rPr>
        <w:t xml:space="preserve">Outre des garanties en matière de représentation, les parlements </w:t>
      </w:r>
      <w:r w:rsidR="00124C1A" w:rsidRPr="00B14DD3">
        <w:rPr>
          <w:sz w:val="20"/>
        </w:rPr>
        <w:t xml:space="preserve">s’efforcent </w:t>
      </w:r>
      <w:r w:rsidRPr="00B14DD3">
        <w:rPr>
          <w:sz w:val="20"/>
        </w:rPr>
        <w:t xml:space="preserve">en général d'entretenir le dialogue et de consulter les groupes sous-représentés afin de veiller à ce qu'ils aient leur mot à dire dans la prise de décision. Voir également la </w:t>
      </w:r>
      <w:r w:rsidRPr="00B14DD3">
        <w:rPr>
          <w:i/>
          <w:sz w:val="20"/>
        </w:rPr>
        <w:t>cible 6</w:t>
      </w:r>
      <w:r w:rsidRPr="00B14DD3">
        <w:rPr>
          <w:sz w:val="20"/>
        </w:rPr>
        <w:t> :</w:t>
      </w:r>
      <w:r w:rsidRPr="00B14DD3">
        <w:rPr>
          <w:i/>
          <w:sz w:val="20"/>
        </w:rPr>
        <w:t xml:space="preserve"> </w:t>
      </w:r>
      <w:r w:rsidRPr="00B14DD3">
        <w:rPr>
          <w:i/>
          <w:sz w:val="20"/>
          <w:szCs w:val="20"/>
        </w:rPr>
        <w:t>Des parlements participatifs</w:t>
      </w:r>
      <w:r w:rsidRPr="00B14DD3">
        <w:t>.</w:t>
      </w:r>
    </w:p>
    <w:p w14:paraId="3698BCCC" w14:textId="77777777" w:rsidR="00FA43C1" w:rsidRPr="00B14DD3" w:rsidRDefault="00166987" w:rsidP="005348E3">
      <w:pPr>
        <w:pStyle w:val="section-title"/>
      </w:pPr>
      <w:r w:rsidRPr="00B14DD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A5991" w:rsidRPr="00B14DD3" w14:paraId="25254C14" w14:textId="77777777" w:rsidTr="00FC7C7A">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C8FBDF2" w14:textId="77777777" w:rsidR="00FA43C1" w:rsidRPr="00B14DD3" w:rsidRDefault="00166987" w:rsidP="003A5991">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des groupes sous-représentés : </w:t>
            </w:r>
          </w:p>
          <w:p w14:paraId="5176AC9A" w14:textId="77777777" w:rsidR="00FA43C1" w:rsidRPr="00B14DD3" w:rsidRDefault="00166987" w:rsidP="003A5991">
            <w:pPr>
              <w:spacing w:line="240" w:lineRule="auto"/>
              <w:rPr>
                <w:sz w:val="20"/>
                <w:szCs w:val="20"/>
              </w:rPr>
            </w:pPr>
            <w:r w:rsidRPr="00B14DD3">
              <w:rPr>
                <w:sz w:val="20"/>
              </w:rPr>
              <w:t xml:space="preserve"> </w:t>
            </w:r>
          </w:p>
          <w:p w14:paraId="50C878EB" w14:textId="46461054" w:rsidR="00FA43C1" w:rsidRPr="00B14DD3" w:rsidRDefault="00166987" w:rsidP="003A5991">
            <w:pPr>
              <w:spacing w:line="240" w:lineRule="auto"/>
              <w:rPr>
                <w:sz w:val="20"/>
                <w:szCs w:val="20"/>
              </w:rPr>
            </w:pPr>
            <w:r w:rsidRPr="00B14DD3">
              <w:rPr>
                <w:sz w:val="20"/>
              </w:rPr>
              <w:t xml:space="preserve">Le cadre juridique garantit à tous les individus, y compris ceux qui appartiennent à des groupes sous-représentés, le droit de prendre part à la conduite des affaires publiques, notamment le droit de voter et de se présenter aux élections, </w:t>
            </w:r>
            <w:r w:rsidR="00E332DE">
              <w:rPr>
                <w:sz w:val="20"/>
              </w:rPr>
              <w:t xml:space="preserve">hors de toute </w:t>
            </w:r>
            <w:r w:rsidRPr="00B14DD3">
              <w:rPr>
                <w:sz w:val="20"/>
              </w:rPr>
              <w:t>discrimination.</w:t>
            </w:r>
          </w:p>
          <w:p w14:paraId="35D3BB92" w14:textId="77777777" w:rsidR="00FA43C1" w:rsidRPr="00B14DD3" w:rsidRDefault="00FA43C1" w:rsidP="003A5991">
            <w:pPr>
              <w:spacing w:line="240" w:lineRule="auto"/>
              <w:rPr>
                <w:sz w:val="20"/>
                <w:szCs w:val="20"/>
              </w:rPr>
            </w:pPr>
          </w:p>
          <w:p w14:paraId="16CF8E9B" w14:textId="77777777" w:rsidR="00FA43C1" w:rsidRPr="00B14DD3" w:rsidRDefault="00166987" w:rsidP="003A5991">
            <w:pPr>
              <w:spacing w:line="240" w:lineRule="auto"/>
              <w:rPr>
                <w:sz w:val="20"/>
                <w:szCs w:val="20"/>
              </w:rPr>
            </w:pPr>
            <w:r w:rsidRPr="00B14DD3">
              <w:rPr>
                <w:sz w:val="20"/>
              </w:rPr>
              <w:t>Le parlement a adopté des mesures spécialement destinées à promouvoir la représentation des groupes sous-représentés au parlement, notamment des quotas et des sièges réservés.</w:t>
            </w:r>
          </w:p>
          <w:p w14:paraId="339E9D7C" w14:textId="77777777" w:rsidR="00FA43C1" w:rsidRPr="00B14DD3" w:rsidRDefault="00FA43C1" w:rsidP="003A5991">
            <w:pPr>
              <w:spacing w:line="240" w:lineRule="auto"/>
              <w:rPr>
                <w:sz w:val="20"/>
                <w:szCs w:val="20"/>
              </w:rPr>
            </w:pPr>
          </w:p>
          <w:p w14:paraId="670C7B55" w14:textId="77777777" w:rsidR="00FA43C1" w:rsidRPr="00B14DD3" w:rsidRDefault="00166987" w:rsidP="00FB275F">
            <w:pPr>
              <w:spacing w:line="240" w:lineRule="auto"/>
              <w:rPr>
                <w:sz w:val="20"/>
                <w:szCs w:val="20"/>
              </w:rPr>
            </w:pPr>
            <w:r w:rsidRPr="00B14DD3">
              <w:rPr>
                <w:sz w:val="20"/>
              </w:rPr>
              <w:t xml:space="preserve">Le règlement du parlement offre aux parlementaires représentant des groupes minoritaires la possibilité de prendre une part active aux travaux du parlement. </w:t>
            </w:r>
          </w:p>
          <w:p w14:paraId="64E44B30" w14:textId="77777777" w:rsidR="00FA43C1" w:rsidRPr="00B14DD3" w:rsidRDefault="00FA43C1" w:rsidP="003A5991">
            <w:pPr>
              <w:spacing w:line="240" w:lineRule="auto"/>
              <w:rPr>
                <w:color w:val="005F9A"/>
                <w:sz w:val="20"/>
                <w:szCs w:val="20"/>
              </w:rPr>
            </w:pPr>
          </w:p>
        </w:tc>
      </w:tr>
    </w:tbl>
    <w:p w14:paraId="22E4545D" w14:textId="77777777" w:rsidR="00FA43C1" w:rsidRPr="00B14DD3" w:rsidRDefault="00166987" w:rsidP="005348E3">
      <w:pPr>
        <w:pStyle w:val="section-title"/>
      </w:pPr>
      <w:r w:rsidRPr="00B14DD3">
        <w:t>Évaluation</w:t>
      </w:r>
    </w:p>
    <w:p w14:paraId="2C8536FF" w14:textId="77777777" w:rsidR="00FA43C1" w:rsidRPr="00B14DD3" w:rsidRDefault="00166987" w:rsidP="003A5991">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D9BABDB" w14:textId="77777777" w:rsidR="00FA43C1" w:rsidRPr="00B14DD3" w:rsidRDefault="00166987" w:rsidP="003A5991">
      <w:pPr>
        <w:spacing w:before="200" w:line="240" w:lineRule="auto"/>
        <w:rPr>
          <w:sz w:val="20"/>
          <w:szCs w:val="20"/>
        </w:rPr>
      </w:pPr>
      <w:r w:rsidRPr="00B14DD3">
        <w:rPr>
          <w:sz w:val="20"/>
        </w:rPr>
        <w:t>Exemples d'éléments permettant d'étayer l'évaluation :</w:t>
      </w:r>
    </w:p>
    <w:p w14:paraId="281CB485" w14:textId="77777777" w:rsidR="00FA43C1" w:rsidRPr="00B14DD3" w:rsidRDefault="00FA43C1" w:rsidP="00FC7C7A">
      <w:pPr>
        <w:spacing w:line="240" w:lineRule="auto"/>
        <w:rPr>
          <w:sz w:val="20"/>
          <w:szCs w:val="20"/>
        </w:rPr>
      </w:pPr>
    </w:p>
    <w:p w14:paraId="7046227D" w14:textId="77777777" w:rsidR="00FA43C1" w:rsidRPr="00B14DD3" w:rsidRDefault="00166987" w:rsidP="00B46BC1">
      <w:pPr>
        <w:numPr>
          <w:ilvl w:val="0"/>
          <w:numId w:val="11"/>
        </w:numPr>
        <w:spacing w:line="240" w:lineRule="auto"/>
        <w:ind w:left="562" w:hanging="562"/>
        <w:rPr>
          <w:sz w:val="20"/>
          <w:szCs w:val="20"/>
        </w:rPr>
      </w:pPr>
      <w:r w:rsidRPr="00B14DD3">
        <w:rPr>
          <w:sz w:val="20"/>
        </w:rPr>
        <w:t>Dispositions de la Constitution ou autres éléments du cadre juridique garantissant les droits politiques des groupes minoritaires et autochtones et interdisant la discrimination</w:t>
      </w:r>
    </w:p>
    <w:p w14:paraId="4DA5FCE3" w14:textId="77777777" w:rsidR="00FA43C1" w:rsidRPr="00B14DD3" w:rsidRDefault="00166987" w:rsidP="00B46BC1">
      <w:pPr>
        <w:numPr>
          <w:ilvl w:val="0"/>
          <w:numId w:val="11"/>
        </w:numPr>
        <w:spacing w:line="240" w:lineRule="auto"/>
        <w:ind w:left="562" w:hanging="562"/>
        <w:rPr>
          <w:sz w:val="20"/>
          <w:szCs w:val="20"/>
        </w:rPr>
      </w:pPr>
      <w:r w:rsidRPr="00B14DD3">
        <w:rPr>
          <w:sz w:val="20"/>
        </w:rPr>
        <w:t>Dispositions du cadre juridique établissant des mesures spéciales en faveur des groupes minoritaires et autochtones</w:t>
      </w:r>
    </w:p>
    <w:p w14:paraId="73E36475" w14:textId="77777777" w:rsidR="00FA43C1" w:rsidRPr="00B14DD3" w:rsidRDefault="00166987" w:rsidP="00B46BC1">
      <w:pPr>
        <w:numPr>
          <w:ilvl w:val="0"/>
          <w:numId w:val="11"/>
        </w:numPr>
        <w:spacing w:line="240" w:lineRule="auto"/>
        <w:ind w:left="562" w:hanging="562"/>
        <w:rPr>
          <w:sz w:val="20"/>
          <w:szCs w:val="20"/>
        </w:rPr>
      </w:pPr>
      <w:r w:rsidRPr="00B14DD3">
        <w:rPr>
          <w:sz w:val="20"/>
        </w:rPr>
        <w:t>Éléments attestant de l'existence de représentants des groupes minoritaires et autochtones au parlement, notamment dans les commissions, les forums ou les conseils parlementaires</w:t>
      </w:r>
    </w:p>
    <w:p w14:paraId="7591CE18" w14:textId="77777777" w:rsidR="00FA43C1" w:rsidRPr="00B14DD3" w:rsidRDefault="00166987" w:rsidP="00B46BC1">
      <w:pPr>
        <w:numPr>
          <w:ilvl w:val="0"/>
          <w:numId w:val="11"/>
        </w:numPr>
        <w:spacing w:line="240" w:lineRule="auto"/>
        <w:ind w:left="562" w:hanging="562"/>
        <w:rPr>
          <w:sz w:val="20"/>
          <w:szCs w:val="20"/>
        </w:rPr>
      </w:pPr>
      <w:r w:rsidRPr="00B14DD3">
        <w:rPr>
          <w:sz w:val="20"/>
        </w:rPr>
        <w:t>Données chiffrées sur les parlementaires représentant les groupes minoritaires et autochtones dans le parlement actuel</w:t>
      </w:r>
    </w:p>
    <w:p w14:paraId="759C56A4" w14:textId="77777777" w:rsidR="00FA43C1" w:rsidRPr="00B14DD3" w:rsidRDefault="00FA43C1" w:rsidP="003A5991">
      <w:pPr>
        <w:spacing w:line="240" w:lineRule="auto"/>
        <w:rPr>
          <w:sz w:val="20"/>
          <w:szCs w:val="20"/>
        </w:rPr>
      </w:pPr>
    </w:p>
    <w:p w14:paraId="09B4CF63" w14:textId="77777777" w:rsidR="00FA43C1" w:rsidRPr="00B14DD3" w:rsidRDefault="00166987" w:rsidP="003A5991">
      <w:pPr>
        <w:spacing w:line="240" w:lineRule="auto"/>
        <w:rPr>
          <w:sz w:val="20"/>
          <w:szCs w:val="20"/>
        </w:rPr>
      </w:pPr>
      <w:r w:rsidRPr="00B14DD3">
        <w:rPr>
          <w:sz w:val="20"/>
        </w:rPr>
        <w:t>Le cas échéant, merci de bien vouloir communiquer des observations ou exemples supplémentaires pour étayer l'évaluation.</w:t>
      </w:r>
    </w:p>
    <w:p w14:paraId="7884BB8A" w14:textId="77777777" w:rsidR="00FA43C1" w:rsidRPr="00B14DD3" w:rsidRDefault="00166987" w:rsidP="00E0404A">
      <w:pPr>
        <w:pStyle w:val="Titre4"/>
      </w:pPr>
      <w:bookmarkStart w:id="35" w:name="_u6oqnqfku7xb"/>
      <w:bookmarkEnd w:id="35"/>
      <w:r w:rsidRPr="00B14DD3">
        <w:t>Critère d'évaluation n° 1 : Droit de participer aux affaires publiques</w:t>
      </w:r>
    </w:p>
    <w:p w14:paraId="171B8E47" w14:textId="539550F4" w:rsidR="00FA43C1" w:rsidRPr="00B14DD3" w:rsidRDefault="00166987" w:rsidP="00FB275F">
      <w:pPr>
        <w:spacing w:line="240" w:lineRule="auto"/>
        <w:rPr>
          <w:sz w:val="20"/>
          <w:szCs w:val="20"/>
        </w:rPr>
      </w:pPr>
      <w:r w:rsidRPr="00B14DD3">
        <w:rPr>
          <w:sz w:val="20"/>
        </w:rPr>
        <w:t xml:space="preserve">Le cadre juridique garantit à tous les individus, y compris ceux qui appartiennent à des groupes sous-représentés, le droit de prendre part à la conduite des affaires publiques, notamment le droit de voter et de se présenter aux élections, </w:t>
      </w:r>
      <w:r w:rsidR="00E332DE">
        <w:rPr>
          <w:sz w:val="20"/>
        </w:rPr>
        <w:t xml:space="preserve">hors de toute </w:t>
      </w:r>
      <w:r w:rsidRPr="00B14DD3">
        <w:rPr>
          <w:sz w:val="20"/>
        </w:rPr>
        <w:t>discrimination.</w:t>
      </w:r>
    </w:p>
    <w:p w14:paraId="172DF810"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46BC1" w:rsidRPr="00B14DD3" w14:paraId="19126283"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922F1D" w14:textId="77777777" w:rsidR="00FA43C1" w:rsidRPr="00B14DD3" w:rsidRDefault="00166987">
            <w:pPr>
              <w:jc w:val="center"/>
              <w:rPr>
                <w:rFonts w:eastAsia="Calibri"/>
                <w:sz w:val="20"/>
                <w:szCs w:val="20"/>
              </w:rPr>
            </w:pPr>
            <w:r w:rsidRPr="00B14DD3">
              <w:rPr>
                <w:sz w:val="20"/>
              </w:rPr>
              <w:t>Néant</w:t>
            </w:r>
          </w:p>
          <w:p w14:paraId="5826594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3CE325" w14:textId="77777777" w:rsidR="00FA43C1" w:rsidRPr="00B14DD3" w:rsidRDefault="00166987">
            <w:pPr>
              <w:jc w:val="center"/>
              <w:rPr>
                <w:rFonts w:eastAsia="Calibri"/>
                <w:sz w:val="20"/>
                <w:szCs w:val="20"/>
              </w:rPr>
            </w:pPr>
            <w:r w:rsidRPr="00B14DD3">
              <w:rPr>
                <w:sz w:val="20"/>
              </w:rPr>
              <w:t xml:space="preserve">Médiocre </w:t>
            </w:r>
          </w:p>
          <w:p w14:paraId="04E2EC2B"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8AEC6A" w14:textId="77777777" w:rsidR="00FA43C1" w:rsidRPr="00B14DD3" w:rsidRDefault="00166987">
            <w:pPr>
              <w:jc w:val="center"/>
              <w:rPr>
                <w:rFonts w:eastAsia="Calibri"/>
                <w:sz w:val="20"/>
                <w:szCs w:val="20"/>
              </w:rPr>
            </w:pPr>
            <w:r w:rsidRPr="00B14DD3">
              <w:rPr>
                <w:sz w:val="20"/>
              </w:rPr>
              <w:t>Moyen</w:t>
            </w:r>
          </w:p>
          <w:p w14:paraId="3C9C5A3A"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3E33FE" w14:textId="77777777" w:rsidR="00FA43C1" w:rsidRPr="00B14DD3" w:rsidRDefault="00166987">
            <w:pPr>
              <w:jc w:val="center"/>
              <w:rPr>
                <w:rFonts w:eastAsia="Calibri"/>
                <w:sz w:val="20"/>
                <w:szCs w:val="20"/>
              </w:rPr>
            </w:pPr>
            <w:r w:rsidRPr="00B14DD3">
              <w:rPr>
                <w:sz w:val="20"/>
              </w:rPr>
              <w:t>Bon</w:t>
            </w:r>
          </w:p>
          <w:p w14:paraId="4E5D77B5"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C62BD3" w14:textId="77777777" w:rsidR="00FA43C1" w:rsidRPr="00B14DD3" w:rsidRDefault="00166987">
            <w:pPr>
              <w:jc w:val="center"/>
              <w:rPr>
                <w:rFonts w:eastAsia="Calibri"/>
                <w:sz w:val="20"/>
                <w:szCs w:val="20"/>
              </w:rPr>
            </w:pPr>
            <w:r w:rsidRPr="00B14DD3">
              <w:rPr>
                <w:sz w:val="20"/>
              </w:rPr>
              <w:t>Très bon</w:t>
            </w:r>
          </w:p>
          <w:p w14:paraId="378C2C0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81AB16" w14:textId="77777777" w:rsidR="00FA43C1" w:rsidRPr="00B14DD3" w:rsidRDefault="00166987">
            <w:pPr>
              <w:jc w:val="center"/>
              <w:rPr>
                <w:rFonts w:eastAsia="Calibri"/>
                <w:sz w:val="20"/>
                <w:szCs w:val="20"/>
              </w:rPr>
            </w:pPr>
            <w:r w:rsidRPr="00B14DD3">
              <w:rPr>
                <w:sz w:val="20"/>
              </w:rPr>
              <w:t>Excellent</w:t>
            </w:r>
          </w:p>
          <w:p w14:paraId="648D3AB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B46BC1" w:rsidRPr="00B14DD3" w14:paraId="628CB1B2"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A01DF" w14:textId="77777777" w:rsidR="00FA43C1" w:rsidRPr="00B14DD3" w:rsidRDefault="00166987">
            <w:pPr>
              <w:rPr>
                <w:rFonts w:eastAsia="Calibri"/>
                <w:color w:val="005F9A"/>
                <w:sz w:val="20"/>
                <w:szCs w:val="20"/>
              </w:rPr>
            </w:pPr>
            <w:r w:rsidRPr="00B14DD3">
              <w:rPr>
                <w:color w:val="005F9A"/>
                <w:sz w:val="20"/>
              </w:rPr>
              <w:t>Éléments à l'appui de l'évaluation :</w:t>
            </w:r>
          </w:p>
          <w:p w14:paraId="2506B064" w14:textId="77777777" w:rsidR="00FA43C1" w:rsidRPr="00B14DD3" w:rsidRDefault="00FA43C1">
            <w:pPr>
              <w:rPr>
                <w:rFonts w:eastAsia="Calibri"/>
                <w:color w:val="0000FF"/>
                <w:sz w:val="20"/>
                <w:szCs w:val="20"/>
              </w:rPr>
            </w:pPr>
          </w:p>
          <w:p w14:paraId="0CA9A0DB" w14:textId="77777777" w:rsidR="00FA43C1" w:rsidRPr="00B14DD3" w:rsidRDefault="00FA43C1">
            <w:pPr>
              <w:rPr>
                <w:rFonts w:eastAsia="Calibri"/>
                <w:color w:val="0000FF"/>
                <w:sz w:val="20"/>
                <w:szCs w:val="20"/>
              </w:rPr>
            </w:pPr>
          </w:p>
        </w:tc>
      </w:tr>
    </w:tbl>
    <w:p w14:paraId="4A89E616" w14:textId="77777777" w:rsidR="00FA43C1" w:rsidRPr="00B14DD3" w:rsidRDefault="00166987" w:rsidP="00E0404A">
      <w:pPr>
        <w:pStyle w:val="Titre4"/>
      </w:pPr>
      <w:bookmarkStart w:id="36" w:name="_4cub9rmlt1di"/>
      <w:bookmarkEnd w:id="36"/>
      <w:r w:rsidRPr="00B14DD3">
        <w:t xml:space="preserve">Critère d'évaluation n° 2 : Mesures spéciales </w:t>
      </w:r>
    </w:p>
    <w:p w14:paraId="274CAD77" w14:textId="77777777" w:rsidR="00FA43C1" w:rsidRPr="00B14DD3" w:rsidRDefault="00166987" w:rsidP="00FB275F">
      <w:pPr>
        <w:spacing w:line="240" w:lineRule="auto"/>
        <w:rPr>
          <w:sz w:val="20"/>
          <w:szCs w:val="20"/>
        </w:rPr>
      </w:pPr>
      <w:r w:rsidRPr="00B14DD3">
        <w:rPr>
          <w:sz w:val="20"/>
        </w:rPr>
        <w:t>Le parlement a adopté des mesures spécialement destinées à promouvoir la représentation des groupes sous-représentés au parlement, notamment des quotas et des sièges réservés.</w:t>
      </w:r>
    </w:p>
    <w:p w14:paraId="43A76F0B"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46BC1" w:rsidRPr="00B14DD3" w14:paraId="59311FC1" w14:textId="77777777" w:rsidTr="00FB27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5BD769" w14:textId="77777777" w:rsidR="00FA43C1" w:rsidRPr="00B14DD3" w:rsidRDefault="00166987">
            <w:pPr>
              <w:jc w:val="center"/>
              <w:rPr>
                <w:rFonts w:eastAsia="Calibri"/>
                <w:sz w:val="20"/>
                <w:szCs w:val="20"/>
              </w:rPr>
            </w:pPr>
            <w:r w:rsidRPr="00B14DD3">
              <w:rPr>
                <w:sz w:val="20"/>
              </w:rPr>
              <w:t>Néant</w:t>
            </w:r>
          </w:p>
          <w:p w14:paraId="23638587"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06503A" w14:textId="77777777" w:rsidR="00FA43C1" w:rsidRPr="00B14DD3" w:rsidRDefault="00166987">
            <w:pPr>
              <w:jc w:val="center"/>
              <w:rPr>
                <w:rFonts w:eastAsia="Calibri"/>
                <w:sz w:val="20"/>
                <w:szCs w:val="20"/>
              </w:rPr>
            </w:pPr>
            <w:r w:rsidRPr="00B14DD3">
              <w:rPr>
                <w:sz w:val="20"/>
              </w:rPr>
              <w:t xml:space="preserve">Médiocre </w:t>
            </w:r>
          </w:p>
          <w:p w14:paraId="5940A62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32DAEB" w14:textId="77777777" w:rsidR="00FA43C1" w:rsidRPr="00B14DD3" w:rsidRDefault="00166987">
            <w:pPr>
              <w:jc w:val="center"/>
              <w:rPr>
                <w:rFonts w:eastAsia="Calibri"/>
                <w:sz w:val="20"/>
                <w:szCs w:val="20"/>
              </w:rPr>
            </w:pPr>
            <w:r w:rsidRPr="00B14DD3">
              <w:rPr>
                <w:sz w:val="20"/>
              </w:rPr>
              <w:t>Moyen</w:t>
            </w:r>
          </w:p>
          <w:p w14:paraId="5A053E6A"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384892" w14:textId="77777777" w:rsidR="00FA43C1" w:rsidRPr="00B14DD3" w:rsidRDefault="00166987">
            <w:pPr>
              <w:jc w:val="center"/>
              <w:rPr>
                <w:rFonts w:eastAsia="Calibri"/>
                <w:sz w:val="20"/>
                <w:szCs w:val="20"/>
              </w:rPr>
            </w:pPr>
            <w:r w:rsidRPr="00B14DD3">
              <w:rPr>
                <w:sz w:val="20"/>
              </w:rPr>
              <w:t>Bon</w:t>
            </w:r>
          </w:p>
          <w:p w14:paraId="0844B746"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37AEAD" w14:textId="77777777" w:rsidR="00FA43C1" w:rsidRPr="00B14DD3" w:rsidRDefault="00166987">
            <w:pPr>
              <w:jc w:val="center"/>
              <w:rPr>
                <w:rFonts w:eastAsia="Calibri"/>
                <w:sz w:val="20"/>
                <w:szCs w:val="20"/>
              </w:rPr>
            </w:pPr>
            <w:r w:rsidRPr="00B14DD3">
              <w:rPr>
                <w:sz w:val="20"/>
              </w:rPr>
              <w:t>Très bon</w:t>
            </w:r>
          </w:p>
          <w:p w14:paraId="2635102C"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CBA1BFC" w14:textId="77777777" w:rsidR="00FA43C1" w:rsidRPr="00B14DD3" w:rsidRDefault="00166987">
            <w:pPr>
              <w:jc w:val="center"/>
              <w:rPr>
                <w:rFonts w:eastAsia="Calibri"/>
                <w:sz w:val="20"/>
                <w:szCs w:val="20"/>
              </w:rPr>
            </w:pPr>
            <w:r w:rsidRPr="00B14DD3">
              <w:rPr>
                <w:sz w:val="20"/>
              </w:rPr>
              <w:t>Excellent</w:t>
            </w:r>
          </w:p>
          <w:p w14:paraId="6AD06EA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B46BC1" w:rsidRPr="00B14DD3" w14:paraId="1A2ED7DA"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C2653" w14:textId="77777777" w:rsidR="00FA43C1" w:rsidRPr="00B14DD3" w:rsidRDefault="00166987">
            <w:pPr>
              <w:rPr>
                <w:rFonts w:eastAsia="Calibri"/>
                <w:color w:val="005F9A"/>
                <w:sz w:val="20"/>
                <w:szCs w:val="20"/>
              </w:rPr>
            </w:pPr>
            <w:r w:rsidRPr="00B14DD3">
              <w:rPr>
                <w:color w:val="005F9A"/>
                <w:sz w:val="20"/>
              </w:rPr>
              <w:t>Éléments à l'appui de l'évaluation :</w:t>
            </w:r>
          </w:p>
          <w:p w14:paraId="1D77179F" w14:textId="77777777" w:rsidR="00FA43C1" w:rsidRPr="00B14DD3" w:rsidRDefault="00FA43C1">
            <w:pPr>
              <w:rPr>
                <w:rFonts w:eastAsia="Calibri"/>
                <w:color w:val="0000FF"/>
                <w:sz w:val="20"/>
                <w:szCs w:val="20"/>
              </w:rPr>
            </w:pPr>
          </w:p>
          <w:p w14:paraId="7CD1DD97" w14:textId="77777777" w:rsidR="00FA43C1" w:rsidRPr="00B14DD3" w:rsidRDefault="00FA43C1">
            <w:pPr>
              <w:rPr>
                <w:rFonts w:eastAsia="Calibri"/>
                <w:color w:val="0000FF"/>
                <w:sz w:val="20"/>
                <w:szCs w:val="20"/>
              </w:rPr>
            </w:pPr>
          </w:p>
        </w:tc>
      </w:tr>
    </w:tbl>
    <w:p w14:paraId="121B928D" w14:textId="77777777" w:rsidR="00FA43C1" w:rsidRPr="00B14DD3" w:rsidRDefault="00166987" w:rsidP="00FB275F">
      <w:pPr>
        <w:pStyle w:val="Titre4"/>
      </w:pPr>
      <w:bookmarkStart w:id="37" w:name="_8anxl78imhh5"/>
      <w:bookmarkEnd w:id="37"/>
      <w:r w:rsidRPr="00B14DD3">
        <w:t xml:space="preserve">Critère d'évaluation n° 3 : Règlement du parlement </w:t>
      </w:r>
    </w:p>
    <w:p w14:paraId="46D1E238" w14:textId="77777777" w:rsidR="00FA43C1" w:rsidRPr="00B14DD3" w:rsidRDefault="00166987" w:rsidP="00FB275F">
      <w:pPr>
        <w:spacing w:line="240" w:lineRule="auto"/>
        <w:rPr>
          <w:sz w:val="20"/>
          <w:szCs w:val="20"/>
        </w:rPr>
      </w:pPr>
      <w:r w:rsidRPr="00B14DD3">
        <w:rPr>
          <w:sz w:val="20"/>
        </w:rPr>
        <w:t xml:space="preserve">Le règlement du parlement offre aux parlementaires représentant des groupes minoritaires la possibilité de prendre une part active aux travaux du parlement. </w:t>
      </w:r>
    </w:p>
    <w:p w14:paraId="7CE0649E" w14:textId="77777777" w:rsidR="00FA43C1" w:rsidRPr="00B14DD3" w:rsidRDefault="00FA43C1" w:rsidP="00FB275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B275F" w:rsidRPr="00B14DD3" w14:paraId="2D40A683" w14:textId="77777777" w:rsidTr="00F0331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80FF47" w14:textId="77777777" w:rsidR="00FA43C1" w:rsidRPr="00B14DD3" w:rsidRDefault="00166987" w:rsidP="00F0331C">
            <w:pPr>
              <w:jc w:val="center"/>
              <w:rPr>
                <w:rFonts w:eastAsia="Calibri"/>
                <w:sz w:val="20"/>
                <w:szCs w:val="20"/>
              </w:rPr>
            </w:pPr>
            <w:r w:rsidRPr="00B14DD3">
              <w:rPr>
                <w:sz w:val="20"/>
              </w:rPr>
              <w:t>Néant</w:t>
            </w:r>
          </w:p>
          <w:p w14:paraId="3ACE26A0"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ACAE2E" w14:textId="77777777" w:rsidR="00FA43C1" w:rsidRPr="00B14DD3" w:rsidRDefault="00166987" w:rsidP="00F0331C">
            <w:pPr>
              <w:jc w:val="center"/>
              <w:rPr>
                <w:rFonts w:eastAsia="Calibri"/>
                <w:sz w:val="20"/>
                <w:szCs w:val="20"/>
              </w:rPr>
            </w:pPr>
            <w:r w:rsidRPr="00B14DD3">
              <w:rPr>
                <w:sz w:val="20"/>
              </w:rPr>
              <w:t xml:space="preserve">Médiocre </w:t>
            </w:r>
          </w:p>
          <w:p w14:paraId="28A2DD53"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117EFD" w14:textId="77777777" w:rsidR="00FA43C1" w:rsidRPr="00B14DD3" w:rsidRDefault="00166987" w:rsidP="00F0331C">
            <w:pPr>
              <w:jc w:val="center"/>
              <w:rPr>
                <w:rFonts w:eastAsia="Calibri"/>
                <w:sz w:val="20"/>
                <w:szCs w:val="20"/>
              </w:rPr>
            </w:pPr>
            <w:r w:rsidRPr="00B14DD3">
              <w:rPr>
                <w:sz w:val="20"/>
              </w:rPr>
              <w:t>Moyen</w:t>
            </w:r>
          </w:p>
          <w:p w14:paraId="39416E7A"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380B80" w14:textId="77777777" w:rsidR="00FA43C1" w:rsidRPr="00B14DD3" w:rsidRDefault="00166987" w:rsidP="00F0331C">
            <w:pPr>
              <w:jc w:val="center"/>
              <w:rPr>
                <w:rFonts w:eastAsia="Calibri"/>
                <w:sz w:val="20"/>
                <w:szCs w:val="20"/>
              </w:rPr>
            </w:pPr>
            <w:r w:rsidRPr="00B14DD3">
              <w:rPr>
                <w:sz w:val="20"/>
              </w:rPr>
              <w:t>Bon</w:t>
            </w:r>
          </w:p>
          <w:p w14:paraId="671DE46C"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D0E28C" w14:textId="77777777" w:rsidR="00FA43C1" w:rsidRPr="00B14DD3" w:rsidRDefault="00166987" w:rsidP="00F0331C">
            <w:pPr>
              <w:jc w:val="center"/>
              <w:rPr>
                <w:rFonts w:eastAsia="Calibri"/>
                <w:sz w:val="20"/>
                <w:szCs w:val="20"/>
              </w:rPr>
            </w:pPr>
            <w:r w:rsidRPr="00B14DD3">
              <w:rPr>
                <w:sz w:val="20"/>
              </w:rPr>
              <w:t>Très bon</w:t>
            </w:r>
          </w:p>
          <w:p w14:paraId="688FCA22"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4A59CF" w14:textId="77777777" w:rsidR="00FA43C1" w:rsidRPr="00B14DD3" w:rsidRDefault="00166987" w:rsidP="00F0331C">
            <w:pPr>
              <w:jc w:val="center"/>
              <w:rPr>
                <w:rFonts w:eastAsia="Calibri"/>
                <w:sz w:val="20"/>
                <w:szCs w:val="20"/>
              </w:rPr>
            </w:pPr>
            <w:r w:rsidRPr="00B14DD3">
              <w:rPr>
                <w:sz w:val="20"/>
              </w:rPr>
              <w:t>Excellent</w:t>
            </w:r>
          </w:p>
          <w:p w14:paraId="12644F3E" w14:textId="77777777" w:rsidR="00FA43C1" w:rsidRPr="00B14DD3" w:rsidRDefault="00166987" w:rsidP="00F0331C">
            <w:pPr>
              <w:jc w:val="center"/>
              <w:rPr>
                <w:rFonts w:eastAsia="Calibri"/>
                <w:sz w:val="20"/>
                <w:szCs w:val="20"/>
              </w:rPr>
            </w:pPr>
            <w:r w:rsidRPr="00B14DD3">
              <w:rPr>
                <w:rFonts w:ascii="Segoe UI Symbol" w:hAnsi="Segoe UI Symbol" w:cs="Segoe UI Symbol"/>
                <w:sz w:val="20"/>
                <w:cs/>
              </w:rPr>
              <w:t>☐</w:t>
            </w:r>
          </w:p>
        </w:tc>
      </w:tr>
      <w:tr w:rsidR="00FB275F" w:rsidRPr="00B14DD3" w14:paraId="1966080B" w14:textId="77777777" w:rsidTr="00F0331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0B0C8" w14:textId="77777777" w:rsidR="00FA43C1" w:rsidRPr="00B14DD3" w:rsidRDefault="00166987" w:rsidP="00F0331C">
            <w:pPr>
              <w:rPr>
                <w:rFonts w:eastAsia="Calibri"/>
                <w:color w:val="005F9A"/>
                <w:sz w:val="20"/>
                <w:szCs w:val="20"/>
              </w:rPr>
            </w:pPr>
            <w:r w:rsidRPr="00B14DD3">
              <w:rPr>
                <w:color w:val="005F9A"/>
                <w:sz w:val="20"/>
              </w:rPr>
              <w:t>Éléments à l'appui de l'évaluation :</w:t>
            </w:r>
          </w:p>
          <w:p w14:paraId="60CA9D2E" w14:textId="77777777" w:rsidR="00FA43C1" w:rsidRPr="00B14DD3" w:rsidRDefault="00FA43C1" w:rsidP="00F0331C">
            <w:pPr>
              <w:rPr>
                <w:rFonts w:eastAsia="Calibri"/>
                <w:color w:val="0000FF"/>
                <w:sz w:val="20"/>
                <w:szCs w:val="20"/>
              </w:rPr>
            </w:pPr>
          </w:p>
          <w:p w14:paraId="57FCD436" w14:textId="77777777" w:rsidR="00FA43C1" w:rsidRPr="00B14DD3" w:rsidRDefault="00FA43C1" w:rsidP="00F0331C">
            <w:pPr>
              <w:rPr>
                <w:rFonts w:eastAsia="Calibri"/>
                <w:color w:val="0000FF"/>
                <w:sz w:val="20"/>
                <w:szCs w:val="20"/>
              </w:rPr>
            </w:pPr>
          </w:p>
        </w:tc>
      </w:tr>
    </w:tbl>
    <w:p w14:paraId="7A4F3B1A" w14:textId="77777777" w:rsidR="00FA43C1" w:rsidRPr="00B14DD3" w:rsidRDefault="00166987" w:rsidP="00E0404A">
      <w:pPr>
        <w:pStyle w:val="Titre4"/>
      </w:pPr>
      <w:r w:rsidRPr="00B14DD3">
        <w:t xml:space="preserve">Critère d'évaluation n° 4 : Pratique </w:t>
      </w:r>
    </w:p>
    <w:p w14:paraId="4C9B3B9F" w14:textId="77777777" w:rsidR="00FA43C1" w:rsidRPr="00B14DD3" w:rsidRDefault="00166987" w:rsidP="003A5991">
      <w:pPr>
        <w:spacing w:line="240" w:lineRule="auto"/>
        <w:rPr>
          <w:sz w:val="20"/>
          <w:szCs w:val="20"/>
        </w:rPr>
      </w:pPr>
      <w:r w:rsidRPr="00B14DD3">
        <w:rPr>
          <w:sz w:val="20"/>
        </w:rPr>
        <w:t>Dans la pratique, les groupes sous-représentés sont représentés au parlement et en mesure de prendre une part active aux travaux parlementaires.</w:t>
      </w:r>
    </w:p>
    <w:p w14:paraId="7A4B213E" w14:textId="77777777" w:rsidR="00FA43C1" w:rsidRPr="00B14DD3" w:rsidRDefault="00FA43C1" w:rsidP="003A599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46BC1" w:rsidRPr="00B14DD3" w14:paraId="3E82660F"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47499A" w14:textId="77777777" w:rsidR="00FA43C1" w:rsidRPr="00B14DD3" w:rsidRDefault="00166987">
            <w:pPr>
              <w:jc w:val="center"/>
              <w:rPr>
                <w:rFonts w:eastAsia="Calibri"/>
                <w:sz w:val="20"/>
                <w:szCs w:val="20"/>
              </w:rPr>
            </w:pPr>
            <w:r w:rsidRPr="00B14DD3">
              <w:rPr>
                <w:sz w:val="20"/>
              </w:rPr>
              <w:t>Néant</w:t>
            </w:r>
          </w:p>
          <w:p w14:paraId="5CDF590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66872D" w14:textId="77777777" w:rsidR="00FA43C1" w:rsidRPr="00B14DD3" w:rsidRDefault="00166987">
            <w:pPr>
              <w:jc w:val="center"/>
              <w:rPr>
                <w:rFonts w:eastAsia="Calibri"/>
                <w:sz w:val="20"/>
                <w:szCs w:val="20"/>
              </w:rPr>
            </w:pPr>
            <w:r w:rsidRPr="00B14DD3">
              <w:rPr>
                <w:sz w:val="20"/>
              </w:rPr>
              <w:t xml:space="preserve">Médiocre </w:t>
            </w:r>
          </w:p>
          <w:p w14:paraId="1B5CC74E"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56BBD9" w14:textId="77777777" w:rsidR="00FA43C1" w:rsidRPr="00B14DD3" w:rsidRDefault="00166987">
            <w:pPr>
              <w:jc w:val="center"/>
              <w:rPr>
                <w:rFonts w:eastAsia="Calibri"/>
                <w:sz w:val="20"/>
                <w:szCs w:val="20"/>
              </w:rPr>
            </w:pPr>
            <w:r w:rsidRPr="00B14DD3">
              <w:rPr>
                <w:sz w:val="20"/>
              </w:rPr>
              <w:t>Moyen</w:t>
            </w:r>
          </w:p>
          <w:p w14:paraId="07715CBC"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FF572A" w14:textId="77777777" w:rsidR="00FA43C1" w:rsidRPr="00B14DD3" w:rsidRDefault="00166987">
            <w:pPr>
              <w:jc w:val="center"/>
              <w:rPr>
                <w:rFonts w:eastAsia="Calibri"/>
                <w:sz w:val="20"/>
                <w:szCs w:val="20"/>
              </w:rPr>
            </w:pPr>
            <w:r w:rsidRPr="00B14DD3">
              <w:rPr>
                <w:sz w:val="20"/>
              </w:rPr>
              <w:t>Bon</w:t>
            </w:r>
          </w:p>
          <w:p w14:paraId="38BFA8F2"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C118B8" w14:textId="77777777" w:rsidR="00FA43C1" w:rsidRPr="00B14DD3" w:rsidRDefault="00166987">
            <w:pPr>
              <w:jc w:val="center"/>
              <w:rPr>
                <w:rFonts w:eastAsia="Calibri"/>
                <w:sz w:val="20"/>
                <w:szCs w:val="20"/>
              </w:rPr>
            </w:pPr>
            <w:r w:rsidRPr="00B14DD3">
              <w:rPr>
                <w:sz w:val="20"/>
              </w:rPr>
              <w:t>Très bon</w:t>
            </w:r>
          </w:p>
          <w:p w14:paraId="29DE054A"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7DB56F" w14:textId="77777777" w:rsidR="00FA43C1" w:rsidRPr="00B14DD3" w:rsidRDefault="00166987">
            <w:pPr>
              <w:jc w:val="center"/>
              <w:rPr>
                <w:rFonts w:eastAsia="Calibri"/>
                <w:sz w:val="20"/>
                <w:szCs w:val="20"/>
              </w:rPr>
            </w:pPr>
            <w:r w:rsidRPr="00B14DD3">
              <w:rPr>
                <w:sz w:val="20"/>
              </w:rPr>
              <w:t>Excellent</w:t>
            </w:r>
          </w:p>
          <w:p w14:paraId="02A63D18" w14:textId="77777777" w:rsidR="00FA43C1" w:rsidRPr="00B14DD3" w:rsidRDefault="00166987">
            <w:pPr>
              <w:jc w:val="center"/>
              <w:rPr>
                <w:rFonts w:eastAsia="Calibri"/>
                <w:sz w:val="20"/>
                <w:szCs w:val="20"/>
              </w:rPr>
            </w:pPr>
            <w:r w:rsidRPr="00B14DD3">
              <w:rPr>
                <w:rFonts w:ascii="Segoe UI Symbol" w:hAnsi="Segoe UI Symbol" w:cs="Segoe UI Symbol"/>
                <w:sz w:val="20"/>
                <w:cs/>
              </w:rPr>
              <w:t>☐</w:t>
            </w:r>
          </w:p>
        </w:tc>
      </w:tr>
      <w:tr w:rsidR="00B46BC1" w:rsidRPr="00B14DD3" w14:paraId="18C4266B"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22AF7" w14:textId="77777777" w:rsidR="00FA43C1" w:rsidRPr="00B14DD3" w:rsidRDefault="00166987">
            <w:pPr>
              <w:rPr>
                <w:rFonts w:eastAsia="Calibri"/>
                <w:color w:val="005F9A"/>
                <w:sz w:val="20"/>
                <w:szCs w:val="20"/>
              </w:rPr>
            </w:pPr>
            <w:r w:rsidRPr="00B14DD3">
              <w:rPr>
                <w:color w:val="005F9A"/>
                <w:sz w:val="20"/>
              </w:rPr>
              <w:t>Éléments à l'appui de l'évaluation :</w:t>
            </w:r>
          </w:p>
          <w:p w14:paraId="21870439" w14:textId="77777777" w:rsidR="00FA43C1" w:rsidRPr="00B14DD3" w:rsidRDefault="00FA43C1">
            <w:pPr>
              <w:rPr>
                <w:rFonts w:eastAsia="Calibri"/>
                <w:color w:val="0000FF"/>
                <w:sz w:val="20"/>
                <w:szCs w:val="20"/>
              </w:rPr>
            </w:pPr>
          </w:p>
          <w:p w14:paraId="53B9C4EA" w14:textId="77777777" w:rsidR="00FA43C1" w:rsidRPr="00B14DD3" w:rsidRDefault="00FA43C1" w:rsidP="00383F06">
            <w:pPr>
              <w:spacing w:line="240" w:lineRule="auto"/>
              <w:rPr>
                <w:rFonts w:eastAsia="Calibri"/>
                <w:color w:val="0000FF"/>
                <w:sz w:val="20"/>
                <w:szCs w:val="20"/>
              </w:rPr>
            </w:pPr>
          </w:p>
        </w:tc>
      </w:tr>
    </w:tbl>
    <w:p w14:paraId="38028F71" w14:textId="77777777" w:rsidR="00FA43C1" w:rsidRPr="00B14DD3" w:rsidRDefault="00FA43C1" w:rsidP="003A5991">
      <w:pPr>
        <w:spacing w:line="240" w:lineRule="auto"/>
        <w:rPr>
          <w:sz w:val="20"/>
          <w:szCs w:val="20"/>
        </w:rPr>
      </w:pPr>
    </w:p>
    <w:p w14:paraId="5545C135" w14:textId="77777777" w:rsidR="00FA43C1" w:rsidRPr="00B14DD3" w:rsidRDefault="00166987" w:rsidP="005348E3">
      <w:pPr>
        <w:pStyle w:val="section-title"/>
      </w:pPr>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46BC1" w:rsidRPr="00B14DD3" w14:paraId="7DEFC520"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120251" w14:textId="77777777" w:rsidR="00FA43C1" w:rsidRPr="00B14DD3" w:rsidRDefault="00166987" w:rsidP="002C74AC">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726A4572" w14:textId="77777777" w:rsidR="00FA43C1" w:rsidRPr="00B14DD3" w:rsidRDefault="00166987" w:rsidP="005348E3">
      <w:pPr>
        <w:pStyle w:val="section-title"/>
      </w:pPr>
      <w:r w:rsidRPr="00B14DD3">
        <w:t>Sources et autre documentation</w:t>
      </w:r>
    </w:p>
    <w:p w14:paraId="5DE263CD" w14:textId="77777777" w:rsidR="00FD5204" w:rsidRPr="00B14DD3" w:rsidRDefault="00FD5204" w:rsidP="00FD5204">
      <w:pPr>
        <w:numPr>
          <w:ilvl w:val="0"/>
          <w:numId w:val="14"/>
        </w:numPr>
        <w:spacing w:line="240" w:lineRule="auto"/>
        <w:ind w:left="562" w:hanging="562"/>
        <w:rPr>
          <w:sz w:val="20"/>
          <w:szCs w:val="20"/>
        </w:rPr>
      </w:pPr>
      <w:r w:rsidRPr="00B14DD3">
        <w:rPr>
          <w:sz w:val="20"/>
          <w:szCs w:val="20"/>
        </w:rPr>
        <w:t xml:space="preserve">Bureau des institutions démocratiques et des droits de l'homme (BIDDH) de l'OSCE, </w:t>
      </w:r>
      <w:hyperlink r:id="rId23">
        <w:r w:rsidRPr="00B14DD3">
          <w:rPr>
            <w:i/>
            <w:color w:val="0563C1"/>
            <w:sz w:val="20"/>
            <w:szCs w:val="20"/>
            <w:u w:val="single"/>
          </w:rPr>
          <w:t>Guidelines to Assist National Minority Participation in the Electoral Process</w:t>
        </w:r>
      </w:hyperlink>
      <w:r w:rsidRPr="00B14DD3">
        <w:rPr>
          <w:sz w:val="20"/>
          <w:szCs w:val="20"/>
        </w:rPr>
        <w:t xml:space="preserve"> (2001).</w:t>
      </w:r>
    </w:p>
    <w:p w14:paraId="71F72B1C" w14:textId="77777777" w:rsidR="00FA43C1" w:rsidRPr="00B14DD3" w:rsidRDefault="00166987" w:rsidP="00B46BC1">
      <w:pPr>
        <w:numPr>
          <w:ilvl w:val="0"/>
          <w:numId w:val="14"/>
        </w:numPr>
        <w:spacing w:line="240" w:lineRule="auto"/>
        <w:ind w:left="562" w:hanging="562"/>
        <w:rPr>
          <w:sz w:val="20"/>
          <w:szCs w:val="20"/>
        </w:rPr>
      </w:pPr>
      <w:r w:rsidRPr="00B14DD3">
        <w:rPr>
          <w:sz w:val="20"/>
          <w:szCs w:val="20"/>
        </w:rPr>
        <w:t xml:space="preserve">Haut-Commissaire pour les minorités nationales (HCNM) de l'Organisation pour la sécurité et la coopération en Europe (OSCE), </w:t>
      </w:r>
      <w:hyperlink r:id="rId24">
        <w:r w:rsidRPr="00B14DD3">
          <w:rPr>
            <w:i/>
            <w:color w:val="0563C1"/>
            <w:sz w:val="20"/>
            <w:szCs w:val="20"/>
            <w:u w:val="single"/>
          </w:rPr>
          <w:t>The Lund Recommendations on the Effective Participation of National Minorities in Public Life</w:t>
        </w:r>
      </w:hyperlink>
      <w:r w:rsidRPr="00B14DD3">
        <w:rPr>
          <w:sz w:val="20"/>
          <w:szCs w:val="20"/>
        </w:rPr>
        <w:t xml:space="preserve"> (1999).</w:t>
      </w:r>
    </w:p>
    <w:p w14:paraId="06CA3651" w14:textId="6C4F72BD" w:rsidR="00FA43C1" w:rsidRPr="00B14DD3" w:rsidRDefault="00166987" w:rsidP="00B46BC1">
      <w:pPr>
        <w:numPr>
          <w:ilvl w:val="0"/>
          <w:numId w:val="14"/>
        </w:numPr>
        <w:spacing w:line="240" w:lineRule="auto"/>
        <w:ind w:left="562" w:hanging="562"/>
        <w:rPr>
          <w:sz w:val="20"/>
          <w:szCs w:val="20"/>
        </w:rPr>
      </w:pPr>
      <w:r w:rsidRPr="00B14DD3">
        <w:rPr>
          <w:sz w:val="20"/>
          <w:szCs w:val="20"/>
        </w:rPr>
        <w:t>Protsyk</w:t>
      </w:r>
      <w:r w:rsidR="00151251">
        <w:rPr>
          <w:sz w:val="20"/>
          <w:szCs w:val="20"/>
        </w:rPr>
        <w:t xml:space="preserve"> </w:t>
      </w:r>
      <w:r w:rsidR="00151251" w:rsidRPr="00B14DD3">
        <w:rPr>
          <w:sz w:val="20"/>
          <w:szCs w:val="20"/>
        </w:rPr>
        <w:t>Oleh</w:t>
      </w:r>
      <w:r w:rsidRPr="00B14DD3">
        <w:rPr>
          <w:sz w:val="20"/>
          <w:szCs w:val="20"/>
        </w:rPr>
        <w:t xml:space="preserve">, </w:t>
      </w:r>
      <w:hyperlink r:id="rId25" w:history="1">
        <w:r w:rsidR="001B1993">
          <w:rPr>
            <w:rStyle w:val="Lienhypertexte"/>
            <w:i/>
            <w:sz w:val="20"/>
            <w:szCs w:val="20"/>
          </w:rPr>
          <w:t>La</w:t>
        </w:r>
        <w:r w:rsidRPr="001B1993">
          <w:rPr>
            <w:rStyle w:val="Lienhypertexte"/>
            <w:i/>
            <w:sz w:val="20"/>
            <w:szCs w:val="20"/>
          </w:rPr>
          <w:t xml:space="preserve"> repr</w:t>
        </w:r>
        <w:r w:rsidR="001B1993">
          <w:rPr>
            <w:rStyle w:val="Lienhypertexte"/>
            <w:i/>
            <w:sz w:val="20"/>
            <w:szCs w:val="20"/>
          </w:rPr>
          <w:t>é</w:t>
        </w:r>
        <w:r w:rsidRPr="001B1993">
          <w:rPr>
            <w:rStyle w:val="Lienhypertexte"/>
            <w:i/>
            <w:sz w:val="20"/>
            <w:szCs w:val="20"/>
          </w:rPr>
          <w:t xml:space="preserve">sentation </w:t>
        </w:r>
        <w:r w:rsidR="001B1993">
          <w:rPr>
            <w:rStyle w:val="Lienhypertexte"/>
            <w:i/>
            <w:sz w:val="20"/>
            <w:szCs w:val="20"/>
          </w:rPr>
          <w:t>des minorités et des peuples autochtones au Parlement</w:t>
        </w:r>
      </w:hyperlink>
      <w:r w:rsidRPr="00B14DD3">
        <w:rPr>
          <w:sz w:val="20"/>
          <w:szCs w:val="20"/>
        </w:rPr>
        <w:t xml:space="preserve"> (2010).</w:t>
      </w:r>
    </w:p>
    <w:p w14:paraId="1692829E" w14:textId="77777777" w:rsidR="00FA43C1" w:rsidRPr="00B14DD3" w:rsidRDefault="00FA43C1" w:rsidP="00B46BC1">
      <w:bookmarkStart w:id="38" w:name="_f6060jdjsygy"/>
      <w:bookmarkStart w:id="39" w:name="_r01eyxeze1ws"/>
      <w:bookmarkEnd w:id="38"/>
      <w:bookmarkEnd w:id="39"/>
    </w:p>
    <w:sectPr w:rsidR="00FA43C1" w:rsidRPr="00B14DD3" w:rsidSect="00166987">
      <w:headerReference w:type="default" r:id="rId26"/>
      <w:footerReference w:type="default" r:id="rId27"/>
      <w:headerReference w:type="first" r:id="rId28"/>
      <w:footerReference w:type="first" r:id="rId29"/>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2021" w14:textId="77777777" w:rsidR="00CB37AF" w:rsidRDefault="00CB37AF">
      <w:pPr>
        <w:spacing w:line="240" w:lineRule="auto"/>
      </w:pPr>
      <w:r>
        <w:separator/>
      </w:r>
    </w:p>
  </w:endnote>
  <w:endnote w:type="continuationSeparator" w:id="0">
    <w:p w14:paraId="3763E06C" w14:textId="77777777" w:rsidR="00CB37AF" w:rsidRDefault="00CB3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067578"/>
      <w:docPartObj>
        <w:docPartGallery w:val="Page Numbers (Bottom of Page)"/>
        <w:docPartUnique/>
      </w:docPartObj>
    </w:sdtPr>
    <w:sdtEndPr>
      <w:rPr>
        <w:noProof/>
        <w:sz w:val="20"/>
        <w:szCs w:val="20"/>
      </w:rPr>
    </w:sdtEndPr>
    <w:sdtContent>
      <w:p w14:paraId="16380BD9" w14:textId="7B8FF4EB" w:rsidR="00FA43C1" w:rsidRPr="00166987" w:rsidRDefault="00166987" w:rsidP="00166987">
        <w:pPr>
          <w:pStyle w:val="Pieddepage"/>
          <w:jc w:val="right"/>
          <w:rPr>
            <w:sz w:val="20"/>
            <w:szCs w:val="20"/>
          </w:rPr>
        </w:pPr>
        <w:r w:rsidRPr="00166987">
          <w:rPr>
            <w:sz w:val="20"/>
            <w:szCs w:val="20"/>
          </w:rPr>
          <w:fldChar w:fldCharType="begin"/>
        </w:r>
        <w:r w:rsidRPr="00166987">
          <w:rPr>
            <w:sz w:val="20"/>
            <w:szCs w:val="20"/>
          </w:rPr>
          <w:instrText xml:space="preserve"> PAGE   \* MERGEFORMAT </w:instrText>
        </w:r>
        <w:r w:rsidRPr="00166987">
          <w:rPr>
            <w:sz w:val="20"/>
            <w:szCs w:val="20"/>
          </w:rPr>
          <w:fldChar w:fldCharType="separate"/>
        </w:r>
        <w:r w:rsidRPr="00166987">
          <w:rPr>
            <w:noProof/>
            <w:sz w:val="20"/>
            <w:szCs w:val="20"/>
          </w:rPr>
          <w:t>2</w:t>
        </w:r>
        <w:r w:rsidRPr="0016698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64E2" w14:textId="77777777" w:rsidR="00166987" w:rsidRPr="007B30A2" w:rsidRDefault="00166987" w:rsidP="00166987">
    <w:pPr>
      <w:pStyle w:val="NormalWeb"/>
      <w:rPr>
        <w:rFonts w:ascii="Arial" w:hAnsi="Arial" w:cs="Arial"/>
        <w:sz w:val="20"/>
        <w:szCs w:val="20"/>
        <w:lang w:val="fr-CH"/>
      </w:rPr>
    </w:pPr>
    <w:r w:rsidRPr="007B30A2">
      <w:rPr>
        <w:rFonts w:ascii="Arial" w:hAnsi="Arial" w:cs="Arial"/>
        <w:sz w:val="20"/>
        <w:szCs w:val="20"/>
        <w:lang w:val="fr-CH"/>
      </w:rPr>
      <w:t>_______________</w:t>
    </w:r>
  </w:p>
  <w:p w14:paraId="21C7F22B" w14:textId="77777777" w:rsidR="00166987" w:rsidRPr="001C645E" w:rsidRDefault="00166987" w:rsidP="00166987">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26E7FA2C" w14:textId="255DD505" w:rsidR="00166987" w:rsidRPr="00166987" w:rsidRDefault="00166987" w:rsidP="00166987">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AB5C" w14:textId="77777777" w:rsidR="00CB37AF" w:rsidRDefault="00CB37AF">
      <w:pPr>
        <w:spacing w:line="240" w:lineRule="auto"/>
      </w:pPr>
      <w:r>
        <w:separator/>
      </w:r>
    </w:p>
  </w:footnote>
  <w:footnote w:type="continuationSeparator" w:id="0">
    <w:p w14:paraId="69864EF9" w14:textId="77777777" w:rsidR="00CB37AF" w:rsidRDefault="00CB3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5E25" w14:textId="1F3BD347" w:rsidR="00166987" w:rsidRPr="00906A25" w:rsidRDefault="00166987" w:rsidP="00166987">
    <w:pPr>
      <w:pStyle w:val="En-tte"/>
      <w:rPr>
        <w:b/>
        <w:bCs/>
        <w:lang w:val="fr-CH"/>
      </w:rPr>
    </w:pPr>
    <w:bookmarkStart w:id="40" w:name="_Hlk146872618"/>
    <w:bookmarkStart w:id="41" w:name="_Hlk148252784"/>
    <w:bookmarkStart w:id="42" w:name="_Hlk148252785"/>
    <w:bookmarkStart w:id="43" w:name="_Hlk148252869"/>
    <w:bookmarkStart w:id="44" w:name="_Hlk148252870"/>
    <w:bookmarkStart w:id="45" w:name="_Hlk148252876"/>
    <w:bookmarkStart w:id="46" w:name="_Hlk148252877"/>
    <w:bookmarkStart w:id="47" w:name="_Hlk148252878"/>
    <w:bookmarkStart w:id="48" w:name="_Hlk148252879"/>
    <w:bookmarkStart w:id="49" w:name="_Hlk148252880"/>
    <w:bookmarkStart w:id="50" w:name="_Hlk148252881"/>
    <w:bookmarkStart w:id="51" w:name="_Hlk148252882"/>
    <w:bookmarkStart w:id="52" w:name="_Hlk148252883"/>
    <w:bookmarkStart w:id="53" w:name="_Hlk148252884"/>
    <w:bookmarkStart w:id="54" w:name="_Hlk148252885"/>
    <w:bookmarkStart w:id="55" w:name="_Hlk148252886"/>
    <w:bookmarkStart w:id="56" w:name="_Hlk148252887"/>
    <w:bookmarkStart w:id="57" w:name="_Hlk148252888"/>
    <w:bookmarkStart w:id="58" w:name="_Hlk148252889"/>
    <w:bookmarkStart w:id="59" w:name="_Hlk148252899"/>
    <w:bookmarkStart w:id="60" w:name="_Hlk148252900"/>
    <w:bookmarkStart w:id="61" w:name="_Hlk148252901"/>
    <w:bookmarkStart w:id="62" w:name="_Hlk148252902"/>
    <w:bookmarkStart w:id="63" w:name="_Hlk148253093"/>
    <w:bookmarkStart w:id="64" w:name="_Hlk148253094"/>
    <w:r w:rsidRPr="00906A25">
      <w:rPr>
        <w:b/>
        <w:bCs/>
        <w:sz w:val="20"/>
        <w:szCs w:val="20"/>
      </w:rPr>
      <w:t>Indicateurs pour des parlements démocratiques</w:t>
    </w:r>
    <w:r w:rsidRPr="00906A25">
      <w:rPr>
        <w:b/>
        <w:bCs/>
        <w:sz w:val="20"/>
        <w:szCs w:val="20"/>
        <w:lang w:val="fr-CH"/>
      </w:rPr>
      <w:tab/>
      <w:t>www.parliamentaryindicators.org</w:t>
    </w:r>
    <w:bookmarkEnd w:id="40"/>
  </w:p>
  <w:p w14:paraId="155450B0" w14:textId="1B9A122E" w:rsidR="00166987" w:rsidRPr="00906A25" w:rsidRDefault="00166987" w:rsidP="00166987">
    <w:pPr>
      <w:pStyle w:val="En-tte"/>
      <w:rPr>
        <w:lang w:val="en-US"/>
      </w:rPr>
    </w:pPr>
    <w:r w:rsidRPr="00906A25">
      <w:rPr>
        <w:sz w:val="20"/>
        <w:szCs w:val="20"/>
        <w:lang w:val="en-US"/>
      </w:rPr>
      <w:t>_________________________________________</w:t>
    </w:r>
    <w:r>
      <w:rPr>
        <w:sz w:val="20"/>
        <w:szCs w:val="20"/>
        <w:lang w:val="en-US"/>
      </w:rPr>
      <w:t>__</w:t>
    </w:r>
    <w:r w:rsidRPr="00906A25">
      <w:rPr>
        <w:sz w:val="20"/>
        <w:szCs w:val="20"/>
        <w:lang w:val="en-US"/>
      </w:rPr>
      <w:t>______________________________________</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7924CDF6" w14:textId="285C9066" w:rsidR="00FA43C1" w:rsidRPr="00166987" w:rsidRDefault="00FA43C1" w:rsidP="001669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2E22" w14:textId="77777777" w:rsidR="00166987" w:rsidRDefault="00166987" w:rsidP="00166987">
    <w:pPr>
      <w:pStyle w:val="En-tte"/>
    </w:pPr>
    <w:bookmarkStart w:id="65" w:name="_Hlk148252769"/>
    <w:bookmarkStart w:id="66" w:name="_Hlk148252770"/>
    <w:bookmarkStart w:id="67" w:name="_Hlk148252862"/>
    <w:bookmarkStart w:id="68" w:name="_Hlk148252863"/>
    <w:r>
      <w:rPr>
        <w:noProof/>
      </w:rPr>
      <w:drawing>
        <wp:inline distT="0" distB="0" distL="0" distR="0" wp14:anchorId="07F437BE" wp14:editId="3F0B1897">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31E3B71A" w14:textId="77777777" w:rsidR="00166987" w:rsidRDefault="00166987" w:rsidP="00166987">
    <w:pPr>
      <w:pStyle w:val="En-tte"/>
    </w:pPr>
  </w:p>
  <w:bookmarkEnd w:id="65"/>
  <w:bookmarkEnd w:id="66"/>
  <w:bookmarkEnd w:id="67"/>
  <w:bookmarkEnd w:id="68"/>
  <w:p w14:paraId="0319E46A" w14:textId="77777777" w:rsidR="00166987" w:rsidRDefault="001669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6D4C700E">
      <w:start w:val="1"/>
      <w:numFmt w:val="bullet"/>
      <w:lvlText w:val=""/>
      <w:lvlJc w:val="left"/>
      <w:pPr>
        <w:ind w:left="720" w:hanging="360"/>
      </w:pPr>
      <w:rPr>
        <w:rFonts w:ascii="Symbol" w:hAnsi="Symbol" w:hint="default"/>
      </w:rPr>
    </w:lvl>
    <w:lvl w:ilvl="1" w:tplc="5AF4DB2E" w:tentative="1">
      <w:start w:val="1"/>
      <w:numFmt w:val="bullet"/>
      <w:lvlText w:val="o"/>
      <w:lvlJc w:val="left"/>
      <w:pPr>
        <w:ind w:left="1440" w:hanging="360"/>
      </w:pPr>
      <w:rPr>
        <w:rFonts w:ascii="Courier New" w:hAnsi="Courier New" w:cs="Courier New" w:hint="default"/>
      </w:rPr>
    </w:lvl>
    <w:lvl w:ilvl="2" w:tplc="2EB6853C" w:tentative="1">
      <w:start w:val="1"/>
      <w:numFmt w:val="bullet"/>
      <w:lvlText w:val=""/>
      <w:lvlJc w:val="left"/>
      <w:pPr>
        <w:ind w:left="2160" w:hanging="360"/>
      </w:pPr>
      <w:rPr>
        <w:rFonts w:ascii="Wingdings" w:hAnsi="Wingdings" w:hint="default"/>
      </w:rPr>
    </w:lvl>
    <w:lvl w:ilvl="3" w:tplc="F5402748" w:tentative="1">
      <w:start w:val="1"/>
      <w:numFmt w:val="bullet"/>
      <w:lvlText w:val=""/>
      <w:lvlJc w:val="left"/>
      <w:pPr>
        <w:ind w:left="2880" w:hanging="360"/>
      </w:pPr>
      <w:rPr>
        <w:rFonts w:ascii="Symbol" w:hAnsi="Symbol" w:hint="default"/>
      </w:rPr>
    </w:lvl>
    <w:lvl w:ilvl="4" w:tplc="3A809E26" w:tentative="1">
      <w:start w:val="1"/>
      <w:numFmt w:val="bullet"/>
      <w:lvlText w:val="o"/>
      <w:lvlJc w:val="left"/>
      <w:pPr>
        <w:ind w:left="3600" w:hanging="360"/>
      </w:pPr>
      <w:rPr>
        <w:rFonts w:ascii="Courier New" w:hAnsi="Courier New" w:cs="Courier New" w:hint="default"/>
      </w:rPr>
    </w:lvl>
    <w:lvl w:ilvl="5" w:tplc="9EF0ED8E" w:tentative="1">
      <w:start w:val="1"/>
      <w:numFmt w:val="bullet"/>
      <w:lvlText w:val=""/>
      <w:lvlJc w:val="left"/>
      <w:pPr>
        <w:ind w:left="4320" w:hanging="360"/>
      </w:pPr>
      <w:rPr>
        <w:rFonts w:ascii="Wingdings" w:hAnsi="Wingdings" w:hint="default"/>
      </w:rPr>
    </w:lvl>
    <w:lvl w:ilvl="6" w:tplc="E7E86C76" w:tentative="1">
      <w:start w:val="1"/>
      <w:numFmt w:val="bullet"/>
      <w:lvlText w:val=""/>
      <w:lvlJc w:val="left"/>
      <w:pPr>
        <w:ind w:left="5040" w:hanging="360"/>
      </w:pPr>
      <w:rPr>
        <w:rFonts w:ascii="Symbol" w:hAnsi="Symbol" w:hint="default"/>
      </w:rPr>
    </w:lvl>
    <w:lvl w:ilvl="7" w:tplc="8A9C2DF8" w:tentative="1">
      <w:start w:val="1"/>
      <w:numFmt w:val="bullet"/>
      <w:lvlText w:val="o"/>
      <w:lvlJc w:val="left"/>
      <w:pPr>
        <w:ind w:left="5760" w:hanging="360"/>
      </w:pPr>
      <w:rPr>
        <w:rFonts w:ascii="Courier New" w:hAnsi="Courier New" w:cs="Courier New" w:hint="default"/>
      </w:rPr>
    </w:lvl>
    <w:lvl w:ilvl="8" w:tplc="D192669E"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94C46"/>
    <w:multiLevelType w:val="multilevel"/>
    <w:tmpl w:val="B6208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C7FFE"/>
    <w:multiLevelType w:val="multilevel"/>
    <w:tmpl w:val="F05A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C80349"/>
    <w:multiLevelType w:val="multilevel"/>
    <w:tmpl w:val="51D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314749"/>
    <w:multiLevelType w:val="multilevel"/>
    <w:tmpl w:val="E4EA8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5F4573"/>
    <w:multiLevelType w:val="multilevel"/>
    <w:tmpl w:val="252C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953F1C"/>
    <w:multiLevelType w:val="multilevel"/>
    <w:tmpl w:val="C65E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884ED5"/>
    <w:multiLevelType w:val="multilevel"/>
    <w:tmpl w:val="1A14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7F6262"/>
    <w:multiLevelType w:val="multilevel"/>
    <w:tmpl w:val="45AA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4328672">
    <w:abstractNumId w:val="13"/>
  </w:num>
  <w:num w:numId="2" w16cid:durableId="1606616961">
    <w:abstractNumId w:val="12"/>
  </w:num>
  <w:num w:numId="3" w16cid:durableId="444203693">
    <w:abstractNumId w:val="5"/>
  </w:num>
  <w:num w:numId="4" w16cid:durableId="1206869283">
    <w:abstractNumId w:val="1"/>
  </w:num>
  <w:num w:numId="5" w16cid:durableId="1615211207">
    <w:abstractNumId w:val="6"/>
  </w:num>
  <w:num w:numId="6" w16cid:durableId="1166017484">
    <w:abstractNumId w:val="15"/>
  </w:num>
  <w:num w:numId="7" w16cid:durableId="1408457728">
    <w:abstractNumId w:val="14"/>
  </w:num>
  <w:num w:numId="8" w16cid:durableId="919413531">
    <w:abstractNumId w:val="0"/>
  </w:num>
  <w:num w:numId="9" w16cid:durableId="2099329542">
    <w:abstractNumId w:val="7"/>
  </w:num>
  <w:num w:numId="10" w16cid:durableId="780607667">
    <w:abstractNumId w:val="4"/>
  </w:num>
  <w:num w:numId="11" w16cid:durableId="834994446">
    <w:abstractNumId w:val="9"/>
  </w:num>
  <w:num w:numId="12" w16cid:durableId="653726038">
    <w:abstractNumId w:val="2"/>
  </w:num>
  <w:num w:numId="13" w16cid:durableId="1438258565">
    <w:abstractNumId w:val="11"/>
  </w:num>
  <w:num w:numId="14" w16cid:durableId="1086152998">
    <w:abstractNumId w:val="3"/>
  </w:num>
  <w:num w:numId="15" w16cid:durableId="1065226607">
    <w:abstractNumId w:val="10"/>
  </w:num>
  <w:num w:numId="16" w16cid:durableId="2018998731">
    <w:abstractNumId w:val="8"/>
  </w:num>
  <w:num w:numId="17" w16cid:durableId="109035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4172C"/>
    <w:rsid w:val="00124C1A"/>
    <w:rsid w:val="00151251"/>
    <w:rsid w:val="00166987"/>
    <w:rsid w:val="001B1993"/>
    <w:rsid w:val="001B7215"/>
    <w:rsid w:val="00300505"/>
    <w:rsid w:val="00334740"/>
    <w:rsid w:val="00374D43"/>
    <w:rsid w:val="00395ACC"/>
    <w:rsid w:val="00466CC0"/>
    <w:rsid w:val="004A6227"/>
    <w:rsid w:val="004C1CC8"/>
    <w:rsid w:val="005268A2"/>
    <w:rsid w:val="005348E3"/>
    <w:rsid w:val="005C289B"/>
    <w:rsid w:val="005D38B2"/>
    <w:rsid w:val="00703435"/>
    <w:rsid w:val="00764D8B"/>
    <w:rsid w:val="007A4C6F"/>
    <w:rsid w:val="007C589B"/>
    <w:rsid w:val="007D1F10"/>
    <w:rsid w:val="009162BB"/>
    <w:rsid w:val="009648EC"/>
    <w:rsid w:val="00994738"/>
    <w:rsid w:val="00A026F4"/>
    <w:rsid w:val="00AA51E8"/>
    <w:rsid w:val="00B14DD3"/>
    <w:rsid w:val="00B5103D"/>
    <w:rsid w:val="00B81D32"/>
    <w:rsid w:val="00C4452D"/>
    <w:rsid w:val="00C659C0"/>
    <w:rsid w:val="00CA4257"/>
    <w:rsid w:val="00CB37AF"/>
    <w:rsid w:val="00DC2ED9"/>
    <w:rsid w:val="00DC4619"/>
    <w:rsid w:val="00DE24A6"/>
    <w:rsid w:val="00E332DE"/>
    <w:rsid w:val="00E63B7A"/>
    <w:rsid w:val="00E96A80"/>
    <w:rsid w:val="00EC11C2"/>
    <w:rsid w:val="00F30DB7"/>
    <w:rsid w:val="00F873E7"/>
    <w:rsid w:val="00FA43C1"/>
    <w:rsid w:val="00FD520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45EF"/>
  <w15:docId w15:val="{47145410-5D0C-4906-87FA-512935D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07D4"/>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383F06"/>
    <w:pPr>
      <w:keepNext/>
      <w:keepLines/>
      <w:pageBreakBefore/>
      <w:spacing w:before="200" w:after="240" w:line="240" w:lineRule="auto"/>
      <w:outlineLvl w:val="1"/>
    </w:pPr>
    <w:rPr>
      <w:b/>
      <w:color w:val="00AABE"/>
      <w:sz w:val="28"/>
      <w:szCs w:val="20"/>
    </w:rPr>
  </w:style>
  <w:style w:type="paragraph" w:styleId="Titre3">
    <w:name w:val="heading 3"/>
    <w:basedOn w:val="Normal"/>
    <w:next w:val="Normal"/>
    <w:autoRedefine/>
    <w:qFormat/>
    <w:rsid w:val="00570317"/>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E0404A"/>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qFormat/>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5348E3"/>
    <w:pPr>
      <w:keepNext/>
      <w:spacing w:before="200" w:after="200" w:line="240" w:lineRule="auto"/>
      <w:contextualSpacing/>
    </w:pPr>
    <w:rPr>
      <w:b/>
      <w:lang w:val="fr-CH" w:eastAsia="fr-CH"/>
    </w:rPr>
  </w:style>
  <w:style w:type="character" w:customStyle="1" w:styleId="section-titleChar">
    <w:name w:val="section-title Char"/>
    <w:link w:val="section-title"/>
    <w:rsid w:val="005348E3"/>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3A5991"/>
    <w:rPr>
      <w:vertAlign w:val="superscript"/>
      <w:lang w:val="fr-FR" w:eastAsia="fr-FR"/>
    </w:rPr>
  </w:style>
  <w:style w:type="character" w:styleId="Lienhypertexte">
    <w:name w:val="Hyperlink"/>
    <w:uiPriority w:val="99"/>
    <w:unhideWhenUsed/>
    <w:rsid w:val="003A5991"/>
    <w:rPr>
      <w:color w:val="0000FF"/>
      <w:u w:val="single"/>
      <w:lang w:val="fr-FR" w:eastAsia="fr-FR"/>
    </w:rPr>
  </w:style>
  <w:style w:type="paragraph" w:styleId="Rvision">
    <w:name w:val="Revision"/>
    <w:hidden/>
    <w:uiPriority w:val="99"/>
    <w:semiHidden/>
    <w:rsid w:val="002F1C05"/>
    <w:rPr>
      <w:sz w:val="22"/>
      <w:szCs w:val="22"/>
    </w:rPr>
  </w:style>
  <w:style w:type="character" w:styleId="Marquedecommentaire">
    <w:name w:val="annotation reference"/>
    <w:uiPriority w:val="99"/>
    <w:semiHidden/>
    <w:unhideWhenUsed/>
    <w:rsid w:val="006D0C17"/>
    <w:rPr>
      <w:sz w:val="16"/>
      <w:szCs w:val="16"/>
      <w:lang w:val="fr-FR" w:eastAsia="fr-FR"/>
    </w:rPr>
  </w:style>
  <w:style w:type="paragraph" w:styleId="Commentaire">
    <w:name w:val="annotation text"/>
    <w:basedOn w:val="Normal"/>
    <w:link w:val="CommentaireCar"/>
    <w:uiPriority w:val="99"/>
    <w:unhideWhenUsed/>
    <w:rsid w:val="006D0C17"/>
    <w:pPr>
      <w:spacing w:line="240" w:lineRule="auto"/>
    </w:pPr>
    <w:rPr>
      <w:sz w:val="20"/>
      <w:szCs w:val="20"/>
    </w:rPr>
  </w:style>
  <w:style w:type="character" w:customStyle="1" w:styleId="CommentaireCar">
    <w:name w:val="Commentaire Car"/>
    <w:link w:val="Commentaire"/>
    <w:uiPriority w:val="99"/>
    <w:rsid w:val="006D0C17"/>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D0C17"/>
    <w:rPr>
      <w:b/>
      <w:bCs/>
    </w:rPr>
  </w:style>
  <w:style w:type="character" w:customStyle="1" w:styleId="ObjetducommentaireCar">
    <w:name w:val="Objet du commentaire Car"/>
    <w:link w:val="Objetducommentaire"/>
    <w:uiPriority w:val="99"/>
    <w:semiHidden/>
    <w:rsid w:val="006D0C17"/>
    <w:rPr>
      <w:b/>
      <w:bCs/>
      <w:sz w:val="20"/>
      <w:szCs w:val="20"/>
      <w:lang w:val="fr-FR" w:eastAsia="fr-FR"/>
    </w:rPr>
  </w:style>
  <w:style w:type="character" w:styleId="Mentionnonrsolue">
    <w:name w:val="Unresolved Mention"/>
    <w:uiPriority w:val="99"/>
    <w:semiHidden/>
    <w:unhideWhenUsed/>
    <w:rsid w:val="00524FF1"/>
    <w:rPr>
      <w:color w:val="605E5C"/>
      <w:lang w:val="fr-FR" w:eastAsia="fr-FR"/>
    </w:rPr>
  </w:style>
  <w:style w:type="character" w:styleId="Lienhypertextesuivivisit">
    <w:name w:val="FollowedHyperlink"/>
    <w:basedOn w:val="Policepardfaut"/>
    <w:uiPriority w:val="99"/>
    <w:semiHidden/>
    <w:unhideWhenUsed/>
    <w:rsid w:val="00E96A80"/>
    <w:rPr>
      <w:color w:val="954F72" w:themeColor="followedHyperlink"/>
      <w:u w:val="single"/>
    </w:rPr>
  </w:style>
  <w:style w:type="paragraph" w:styleId="NormalWeb">
    <w:name w:val="Normal (Web)"/>
    <w:basedOn w:val="Normal"/>
    <w:uiPriority w:val="99"/>
    <w:unhideWhenUsed/>
    <w:rsid w:val="00166987"/>
    <w:pPr>
      <w:spacing w:before="100" w:beforeAutospacing="1" w:after="100" w:afterAutospacing="1" w:line="240" w:lineRule="auto"/>
    </w:pPr>
    <w:rPr>
      <w:rFonts w:ascii="Times New Roman" w:eastAsia="Calibri" w:hAnsi="Times New Roman" w:cs="Times New Roman"/>
      <w:sz w:val="24"/>
      <w:szCs w:val="24"/>
    </w:rPr>
  </w:style>
  <w:style w:type="paragraph" w:customStyle="1" w:styleId="Indicator">
    <w:name w:val="Indicator"/>
    <w:basedOn w:val="Titre3"/>
    <w:link w:val="IndicatorChar"/>
    <w:qFormat/>
    <w:rsid w:val="005348E3"/>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5348E3"/>
    <w:rPr>
      <w:b/>
      <w:sz w:val="28"/>
      <w:lang w:eastAsia="fr-CH"/>
    </w:rPr>
  </w:style>
  <w:style w:type="paragraph" w:customStyle="1" w:styleId="Dimension">
    <w:name w:val="Dimension"/>
    <w:basedOn w:val="Titre4"/>
    <w:link w:val="DimensionChar"/>
    <w:qFormat/>
    <w:rsid w:val="005348E3"/>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5348E3"/>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womenwatch/daw/cedaw/cedaw.htm" TargetMode="External"/><Relationship Id="rId18" Type="http://schemas.openxmlformats.org/officeDocument/2006/relationships/hyperlink" Target="https://www.ipu.org/fr/ressources/publications/reference/2016-07/lignes-directrices-pour-forums-de-femmes-parlementair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pu.org/fr/ressources/publications/rapports/2023-03/les-femmes-au-parlement-en-2022" TargetMode="External"/><Relationship Id="rId7" Type="http://schemas.openxmlformats.org/officeDocument/2006/relationships/webSettings" Target="webSettings.xml"/><Relationship Id="rId12" Type="http://schemas.openxmlformats.org/officeDocument/2006/relationships/hyperlink" Target="http://archive.ipu.org/pdf/publications/atlas-en.pdf" TargetMode="External"/><Relationship Id="rId17" Type="http://schemas.openxmlformats.org/officeDocument/2006/relationships/hyperlink" Target="http://archive.ipu.org/pdf/publications/gsp11-f.pdf" TargetMode="External"/><Relationship Id="rId25" Type="http://schemas.openxmlformats.org/officeDocument/2006/relationships/hyperlink" Target="http://archive.ipu.org/splz-f/chiapas10/overview.pdf" TargetMode="External"/><Relationship Id="rId2" Type="http://schemas.openxmlformats.org/officeDocument/2006/relationships/customXml" Target="../customXml/item2.xml"/><Relationship Id="rId16" Type="http://schemas.openxmlformats.org/officeDocument/2006/relationships/hyperlink" Target="http://archive.ipu.org/pdf/publications/gsp11-f.pdf" TargetMode="External"/><Relationship Id="rId20" Type="http://schemas.openxmlformats.org/officeDocument/2006/relationships/hyperlink" Target="https://www.ipu.org/fr/ressources/publications/rapports/2023-03/les-femmes-au-parlement-en-2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ge.europa.eu/sites/default/files/documents/mh0419527enn_002.pdf" TargetMode="External"/><Relationship Id="rId24" Type="http://schemas.openxmlformats.org/officeDocument/2006/relationships/hyperlink" Target="https://www.osce.org/files/f/documents/3/7/30325.pdf" TargetMode="External"/><Relationship Id="rId5" Type="http://schemas.openxmlformats.org/officeDocument/2006/relationships/styles" Target="styles.xml"/><Relationship Id="rId15" Type="http://schemas.openxmlformats.org/officeDocument/2006/relationships/hyperlink" Target="https://www.ohchr.org/Documents/Issues/Democracy/Forum2018/UNDP_3.pdf" TargetMode="External"/><Relationship Id="rId23" Type="http://schemas.openxmlformats.org/officeDocument/2006/relationships/hyperlink" Target="https://aceproject.org/ero-en/topics/boundary-delimitation/UNPAN019061%20for%20bdb05d%20.pdf" TargetMode="External"/><Relationship Id="rId28" Type="http://schemas.openxmlformats.org/officeDocument/2006/relationships/header" Target="header2.xml"/><Relationship Id="rId10" Type="http://schemas.openxmlformats.org/officeDocument/2006/relationships/hyperlink" Target="https://www.venice.coe.int/webforms/documents/default.aspx?pdffile=CDL-AD(2010)007-f" TargetMode="External"/><Relationship Id="rId19" Type="http://schemas.openxmlformats.org/officeDocument/2006/relationships/hyperlink" Target="http://archive.ipu.org/conf-f/135/item4.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Documents/Issues/Democracy/Forum2018/UNDP_3.pdf" TargetMode="External"/><Relationship Id="rId22" Type="http://schemas.openxmlformats.org/officeDocument/2006/relationships/hyperlink" Target="https://www.ipu.org/fr/iwd-2021-d%C3%A9claration-fr"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622E6-F26D-4650-93CB-96DB42F799B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3802</Words>
  <Characters>20912</Characters>
  <Application>Microsoft Office Word</Application>
  <DocSecurity>0</DocSecurity>
  <Lines>174</Lines>
  <Paragraphs>49</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Indicator 7.2: Composition of parliament</vt:lpstr>
      <vt:lpstr>        Dimension 7.2.1: Representing diversity of political opinion</vt:lpstr>
      <vt:lpstr>        Dimension 7.2.2: Women’s political representation </vt:lpstr>
      <vt:lpstr>        Dimension 7.2.3: Political representation of youth </vt:lpstr>
      <vt:lpstr>        Dimension 7.2.4: Political representation of other under-represented groups</vt:lpstr>
    </vt:vector>
  </TitlesOfParts>
  <Company/>
  <LinksUpToDate>false</LinksUpToDate>
  <CharactersWithSpaces>24665</CharactersWithSpaces>
  <SharedDoc>false</SharedDoc>
  <HLinks>
    <vt:vector size="96" baseType="variant">
      <vt:variant>
        <vt:i4>5636173</vt:i4>
      </vt:variant>
      <vt:variant>
        <vt:i4>45</vt:i4>
      </vt:variant>
      <vt:variant>
        <vt:i4>0</vt:i4>
      </vt:variant>
      <vt:variant>
        <vt:i4>5</vt:i4>
      </vt:variant>
      <vt:variant>
        <vt:lpwstr>http://archive.ipu.org/splz-e/chiapas10/overview.pdf</vt:lpwstr>
      </vt:variant>
      <vt:variant>
        <vt:lpwstr/>
      </vt:variant>
      <vt:variant>
        <vt:i4>2228268</vt:i4>
      </vt:variant>
      <vt:variant>
        <vt:i4>42</vt:i4>
      </vt:variant>
      <vt:variant>
        <vt:i4>0</vt:i4>
      </vt:variant>
      <vt:variant>
        <vt:i4>5</vt:i4>
      </vt:variant>
      <vt:variant>
        <vt:lpwstr>https://aceproject.org/ero-en/topics/boundary-delimitation/UNPAN019061 for bdb05d .pdf</vt:lpwstr>
      </vt:variant>
      <vt:variant>
        <vt:lpwstr/>
      </vt:variant>
      <vt:variant>
        <vt:i4>1638495</vt:i4>
      </vt:variant>
      <vt:variant>
        <vt:i4>39</vt:i4>
      </vt:variant>
      <vt:variant>
        <vt:i4>0</vt:i4>
      </vt:variant>
      <vt:variant>
        <vt:i4>5</vt:i4>
      </vt:variant>
      <vt:variant>
        <vt:lpwstr>https://www.osce.org/files/f/documents/3/7/30325.pdf</vt:lpwstr>
      </vt:variant>
      <vt:variant>
        <vt:lpwstr/>
      </vt:variant>
      <vt:variant>
        <vt:i4>1179716</vt:i4>
      </vt:variant>
      <vt:variant>
        <vt:i4>36</vt:i4>
      </vt:variant>
      <vt:variant>
        <vt:i4>0</vt:i4>
      </vt:variant>
      <vt:variant>
        <vt:i4>5</vt:i4>
      </vt:variant>
      <vt:variant>
        <vt:lpwstr>https://www.un.org/womenwatch/daw/cedaw/</vt:lpwstr>
      </vt:variant>
      <vt:variant>
        <vt:lpwstr/>
      </vt:variant>
      <vt:variant>
        <vt:i4>7143502</vt:i4>
      </vt:variant>
      <vt:variant>
        <vt:i4>33</vt:i4>
      </vt:variant>
      <vt:variant>
        <vt:i4>0</vt:i4>
      </vt:variant>
      <vt:variant>
        <vt:i4>5</vt:i4>
      </vt:variant>
      <vt:variant>
        <vt:lpwstr>https://www.ohchr.org/Documents/Issues/Democracy/Forum2018/UNDP_3.pdf</vt:lpwstr>
      </vt:variant>
      <vt:variant>
        <vt:lpwstr/>
      </vt:variant>
      <vt:variant>
        <vt:i4>7143502</vt:i4>
      </vt:variant>
      <vt:variant>
        <vt:i4>30</vt:i4>
      </vt:variant>
      <vt:variant>
        <vt:i4>0</vt:i4>
      </vt:variant>
      <vt:variant>
        <vt:i4>5</vt:i4>
      </vt:variant>
      <vt:variant>
        <vt:lpwstr>https://www.ohchr.org/Documents/Issues/Democracy/Forum2018/UNDP_3.pdf</vt:lpwstr>
      </vt:variant>
      <vt:variant>
        <vt:lpwstr/>
      </vt:variant>
      <vt:variant>
        <vt:i4>5570624</vt:i4>
      </vt:variant>
      <vt:variant>
        <vt:i4>27</vt:i4>
      </vt:variant>
      <vt:variant>
        <vt:i4>0</vt:i4>
      </vt:variant>
      <vt:variant>
        <vt:i4>5</vt:i4>
      </vt:variant>
      <vt:variant>
        <vt:lpwstr>http://archive.ipu.org/pdf/publications/atlas-en.pdf</vt:lpwstr>
      </vt:variant>
      <vt:variant>
        <vt:lpwstr/>
      </vt:variant>
      <vt:variant>
        <vt:i4>7733367</vt:i4>
      </vt:variant>
      <vt:variant>
        <vt:i4>24</vt:i4>
      </vt:variant>
      <vt:variant>
        <vt:i4>0</vt:i4>
      </vt:variant>
      <vt:variant>
        <vt:i4>5</vt:i4>
      </vt:variant>
      <vt:variant>
        <vt:lpwstr>https://www.ipu.org/iwd-2021-statement</vt:lpwstr>
      </vt:variant>
      <vt:variant>
        <vt:lpwstr/>
      </vt:variant>
      <vt:variant>
        <vt:i4>3866739</vt:i4>
      </vt:variant>
      <vt:variant>
        <vt:i4>21</vt:i4>
      </vt:variant>
      <vt:variant>
        <vt:i4>0</vt:i4>
      </vt:variant>
      <vt:variant>
        <vt:i4>5</vt:i4>
      </vt:variant>
      <vt:variant>
        <vt:lpwstr>https://www.ipu.org/resources/publications/reports/2023-03/women-in-parliament-2022</vt:lpwstr>
      </vt:variant>
      <vt:variant>
        <vt:lpwstr/>
      </vt:variant>
      <vt:variant>
        <vt:i4>3866739</vt:i4>
      </vt:variant>
      <vt:variant>
        <vt:i4>18</vt:i4>
      </vt:variant>
      <vt:variant>
        <vt:i4>0</vt:i4>
      </vt:variant>
      <vt:variant>
        <vt:i4>5</vt:i4>
      </vt:variant>
      <vt:variant>
        <vt:lpwstr>https://www.ipu.org/resources/publications/reports/2023-03/women-in-parliament-2022</vt:lpwstr>
      </vt:variant>
      <vt:variant>
        <vt:lpwstr/>
      </vt:variant>
      <vt:variant>
        <vt:i4>7405672</vt:i4>
      </vt:variant>
      <vt:variant>
        <vt:i4>15</vt:i4>
      </vt:variant>
      <vt:variant>
        <vt:i4>0</vt:i4>
      </vt:variant>
      <vt:variant>
        <vt:i4>5</vt:i4>
      </vt:variant>
      <vt:variant>
        <vt:lpwstr>http://archive.ipu.org/conf-e/135/item4.pdf</vt:lpwstr>
      </vt:variant>
      <vt:variant>
        <vt:lpwstr/>
      </vt:variant>
      <vt:variant>
        <vt:i4>2752634</vt:i4>
      </vt:variant>
      <vt:variant>
        <vt:i4>12</vt:i4>
      </vt:variant>
      <vt:variant>
        <vt:i4>0</vt:i4>
      </vt:variant>
      <vt:variant>
        <vt:i4>5</vt:i4>
      </vt:variant>
      <vt:variant>
        <vt:lpwstr>https://www.ipu.org/resources/publications/reference/2016-07/guidelines-womens-caucuses</vt:lpwstr>
      </vt:variant>
      <vt:variant>
        <vt:lpwstr/>
      </vt:variant>
      <vt:variant>
        <vt:i4>3145762</vt:i4>
      </vt:variant>
      <vt:variant>
        <vt:i4>9</vt:i4>
      </vt:variant>
      <vt:variant>
        <vt:i4>0</vt:i4>
      </vt:variant>
      <vt:variant>
        <vt:i4>5</vt:i4>
      </vt:variant>
      <vt:variant>
        <vt:lpwstr>http://archive.ipu.org/pdf/publications/gsp11-e.pdf</vt:lpwstr>
      </vt:variant>
      <vt:variant>
        <vt:lpwstr/>
      </vt:variant>
      <vt:variant>
        <vt:i4>3145762</vt:i4>
      </vt:variant>
      <vt:variant>
        <vt:i4>6</vt:i4>
      </vt:variant>
      <vt:variant>
        <vt:i4>0</vt:i4>
      </vt:variant>
      <vt:variant>
        <vt:i4>5</vt:i4>
      </vt:variant>
      <vt:variant>
        <vt:lpwstr>http://archive.ipu.org/pdf/publications/gsp11-e.pdf</vt:lpwstr>
      </vt:variant>
      <vt:variant>
        <vt:lpwstr/>
      </vt:variant>
      <vt:variant>
        <vt:i4>8192016</vt:i4>
      </vt:variant>
      <vt:variant>
        <vt:i4>3</vt:i4>
      </vt:variant>
      <vt:variant>
        <vt:i4>0</vt:i4>
      </vt:variant>
      <vt:variant>
        <vt:i4>5</vt:i4>
      </vt:variant>
      <vt:variant>
        <vt:lpwstr>https://eige.europa.eu/sites/default/files/documents/mh0419527enn_002.pdf</vt:lpwstr>
      </vt:variant>
      <vt:variant>
        <vt:lpwstr/>
      </vt:variant>
      <vt:variant>
        <vt:i4>5570564</vt:i4>
      </vt:variant>
      <vt:variant>
        <vt:i4>0</vt:i4>
      </vt:variant>
      <vt:variant>
        <vt:i4>0</vt:i4>
      </vt:variant>
      <vt:variant>
        <vt:i4>5</vt:i4>
      </vt:variant>
      <vt:variant>
        <vt:lpwstr>https://www.venice.coe.int/webforms/documents/default.aspx?pdffile=CDL-AD(2010)007-e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14</cp:revision>
  <dcterms:created xsi:type="dcterms:W3CDTF">2023-09-10T10:09:00Z</dcterms:created>
  <dcterms:modified xsi:type="dcterms:W3CDTF">2023-10-19T04:40:00Z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