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15E7" w14:textId="77777777" w:rsidR="00834767" w:rsidRPr="0000157D" w:rsidRDefault="00326F97" w:rsidP="0000157D">
      <w:pPr>
        <w:pStyle w:val="Indicator"/>
        <w:rPr>
          <w:lang w:val="fr-CH"/>
        </w:rPr>
      </w:pPr>
      <w:bookmarkStart w:id="0" w:name="_1fob9te"/>
      <w:bookmarkStart w:id="1" w:name="_Hlk142996056"/>
      <w:bookmarkEnd w:id="0"/>
      <w:r w:rsidRPr="0000157D">
        <w:rPr>
          <w:lang w:val="fr-CH"/>
        </w:rPr>
        <w:t>Indicateur 7.1 : Intégrité des élections</w:t>
      </w:r>
    </w:p>
    <w:p w14:paraId="55E303B3" w14:textId="77777777" w:rsidR="00834767" w:rsidRPr="0000157D" w:rsidRDefault="00326F97" w:rsidP="0000157D">
      <w:pPr>
        <w:pStyle w:val="section-title"/>
      </w:pPr>
      <w:r w:rsidRPr="0000157D">
        <w:t>À propos de l</w:t>
      </w:r>
      <w:r w:rsidRPr="0000157D">
        <w:rPr>
          <w:cs/>
        </w:rPr>
        <w:t>’</w:t>
      </w:r>
      <w:r w:rsidRPr="0000157D">
        <w:t>indicateur</w:t>
      </w:r>
    </w:p>
    <w:p w14:paraId="0111E07E" w14:textId="77777777" w:rsidR="00834767" w:rsidRPr="00BE383A" w:rsidRDefault="00326F97" w:rsidP="001545ED">
      <w:pPr>
        <w:spacing w:line="240" w:lineRule="auto"/>
        <w:rPr>
          <w:sz w:val="20"/>
          <w:szCs w:val="20"/>
        </w:rPr>
      </w:pPr>
      <w:r w:rsidRPr="00BE383A">
        <w:rPr>
          <w:sz w:val="20"/>
        </w:rPr>
        <w:t>Le parlement joue un rôle clé dans l'établissement du cadre juridique garantissant des élections libres et régulières. Les élections, pierre de touche de toute société démocratique, devraient assurer aux électeurs, aux candidats et aux partis politiques une égalité des chances, notamment en matière de participation, ainsi qu'un environnement sûr.</w:t>
      </w:r>
    </w:p>
    <w:p w14:paraId="25DDFBEB" w14:textId="77777777" w:rsidR="00834767" w:rsidRPr="00BE383A" w:rsidRDefault="00834767" w:rsidP="001545ED">
      <w:pPr>
        <w:spacing w:line="240" w:lineRule="auto"/>
        <w:rPr>
          <w:sz w:val="20"/>
          <w:szCs w:val="20"/>
        </w:rPr>
      </w:pPr>
    </w:p>
    <w:p w14:paraId="50163E6A" w14:textId="5DB37D82" w:rsidR="00834767" w:rsidRPr="00BE383A" w:rsidRDefault="00326F97" w:rsidP="00D13C86">
      <w:pPr>
        <w:spacing w:line="240" w:lineRule="auto"/>
        <w:rPr>
          <w:sz w:val="20"/>
        </w:rPr>
      </w:pPr>
      <w:r w:rsidRPr="00BE383A">
        <w:rPr>
          <w:sz w:val="20"/>
        </w:rPr>
        <w:t xml:space="preserve">Pour la crédibilité du processus électoral, il est indispensable que la législation électorale soit stable et conforme aux normes internationales. Les pouvoirs publics devraient rester neutres </w:t>
      </w:r>
      <w:r w:rsidR="00D03060">
        <w:rPr>
          <w:sz w:val="20"/>
        </w:rPr>
        <w:t xml:space="preserve">pendant le </w:t>
      </w:r>
      <w:r w:rsidRPr="00BE383A">
        <w:rPr>
          <w:sz w:val="20"/>
        </w:rPr>
        <w:t xml:space="preserve">processus électoral. Les élections devraient être administrées de façon transparente, impartiale, ouverte et responsable par un organe de gestion des élections indépendant. </w:t>
      </w:r>
    </w:p>
    <w:p w14:paraId="006537E6" w14:textId="77777777" w:rsidR="00834767" w:rsidRPr="00BE383A" w:rsidRDefault="00834767" w:rsidP="001545ED">
      <w:pPr>
        <w:spacing w:line="240" w:lineRule="auto"/>
        <w:rPr>
          <w:sz w:val="20"/>
          <w:szCs w:val="20"/>
        </w:rPr>
      </w:pPr>
    </w:p>
    <w:p w14:paraId="461E2402" w14:textId="77777777" w:rsidR="00834767" w:rsidRPr="00BE383A" w:rsidRDefault="00326F97" w:rsidP="001545ED">
      <w:pPr>
        <w:spacing w:line="240" w:lineRule="auto"/>
        <w:rPr>
          <w:sz w:val="20"/>
          <w:szCs w:val="20"/>
        </w:rPr>
      </w:pPr>
      <w:r w:rsidRPr="00BE383A">
        <w:rPr>
          <w:sz w:val="20"/>
        </w:rPr>
        <w:t>L'indicateur comprend les aspects suivants :</w:t>
      </w:r>
    </w:p>
    <w:p w14:paraId="0D583613" w14:textId="77777777" w:rsidR="00834767" w:rsidRPr="00BE383A" w:rsidRDefault="00834767" w:rsidP="001545ED">
      <w:pPr>
        <w:spacing w:line="240" w:lineRule="auto"/>
        <w:ind w:left="562" w:hanging="562"/>
        <w:contextualSpacing/>
        <w:rPr>
          <w:sz w:val="20"/>
          <w:szCs w:val="20"/>
        </w:rPr>
      </w:pPr>
    </w:p>
    <w:p w14:paraId="0C1F347F" w14:textId="77777777" w:rsidR="00834767" w:rsidRPr="001952C1" w:rsidRDefault="00326F97" w:rsidP="001545ED">
      <w:pPr>
        <w:numPr>
          <w:ilvl w:val="0"/>
          <w:numId w:val="5"/>
        </w:numPr>
        <w:spacing w:line="240" w:lineRule="auto"/>
        <w:ind w:left="562" w:hanging="562"/>
        <w:contextualSpacing/>
        <w:rPr>
          <w:sz w:val="20"/>
          <w:szCs w:val="20"/>
        </w:rPr>
      </w:pPr>
      <w:r w:rsidRPr="00BE383A">
        <w:rPr>
          <w:sz w:val="20"/>
        </w:rPr>
        <w:t xml:space="preserve">Aspect 7.1.1 : </w:t>
      </w:r>
      <w:r w:rsidRPr="001952C1">
        <w:rPr>
          <w:sz w:val="20"/>
        </w:rPr>
        <w:t>Droits en matière de vote et d'élection</w:t>
      </w:r>
    </w:p>
    <w:p w14:paraId="242DAB74" w14:textId="77777777" w:rsidR="00834767" w:rsidRPr="00BE383A" w:rsidRDefault="00834767" w:rsidP="001545ED">
      <w:pPr>
        <w:spacing w:line="240" w:lineRule="auto"/>
        <w:ind w:left="562"/>
        <w:contextualSpacing/>
        <w:rPr>
          <w:sz w:val="20"/>
          <w:szCs w:val="20"/>
        </w:rPr>
      </w:pPr>
    </w:p>
    <w:p w14:paraId="07174747" w14:textId="77777777" w:rsidR="00834767" w:rsidRPr="00BE383A" w:rsidRDefault="00326F97" w:rsidP="001545ED">
      <w:pPr>
        <w:numPr>
          <w:ilvl w:val="0"/>
          <w:numId w:val="5"/>
        </w:numPr>
        <w:spacing w:line="240" w:lineRule="auto"/>
        <w:ind w:left="562" w:hanging="562"/>
        <w:contextualSpacing/>
        <w:rPr>
          <w:sz w:val="20"/>
          <w:szCs w:val="20"/>
        </w:rPr>
      </w:pPr>
      <w:r w:rsidRPr="00BE383A">
        <w:rPr>
          <w:sz w:val="20"/>
        </w:rPr>
        <w:t>Aspect 7.1.2 : Droits et obligations concernant les candidatures, les partis et les campagnes électorales</w:t>
      </w:r>
    </w:p>
    <w:p w14:paraId="231622DF" w14:textId="77777777" w:rsidR="00834767" w:rsidRPr="00BE383A" w:rsidRDefault="00834767" w:rsidP="001545ED">
      <w:pPr>
        <w:spacing w:line="240" w:lineRule="auto"/>
        <w:contextualSpacing/>
        <w:rPr>
          <w:sz w:val="20"/>
          <w:szCs w:val="20"/>
        </w:rPr>
      </w:pPr>
    </w:p>
    <w:p w14:paraId="234481B5" w14:textId="77777777" w:rsidR="00834767" w:rsidRPr="00BE383A" w:rsidRDefault="00326F97" w:rsidP="001545ED">
      <w:pPr>
        <w:numPr>
          <w:ilvl w:val="0"/>
          <w:numId w:val="5"/>
        </w:numPr>
        <w:spacing w:line="240" w:lineRule="auto"/>
        <w:ind w:left="562" w:hanging="562"/>
        <w:contextualSpacing/>
        <w:rPr>
          <w:sz w:val="20"/>
          <w:szCs w:val="20"/>
        </w:rPr>
      </w:pPr>
      <w:r w:rsidRPr="00BE383A">
        <w:rPr>
          <w:sz w:val="20"/>
        </w:rPr>
        <w:t>Aspect 7.1.3 : Rôle des pouvoirs publics dans les élections</w:t>
      </w:r>
    </w:p>
    <w:p w14:paraId="1630B52E" w14:textId="77777777" w:rsidR="00834767" w:rsidRPr="00BE383A" w:rsidRDefault="00834767" w:rsidP="001545ED">
      <w:pPr>
        <w:spacing w:line="240" w:lineRule="auto"/>
        <w:rPr>
          <w:sz w:val="20"/>
          <w:szCs w:val="20"/>
        </w:rPr>
      </w:pPr>
    </w:p>
    <w:p w14:paraId="65A35091" w14:textId="77777777" w:rsidR="00834767" w:rsidRPr="00BE383A" w:rsidRDefault="00834767" w:rsidP="001545ED">
      <w:pPr>
        <w:spacing w:line="240" w:lineRule="auto"/>
        <w:rPr>
          <w:sz w:val="20"/>
          <w:szCs w:val="20"/>
        </w:rPr>
      </w:pPr>
    </w:p>
    <w:p w14:paraId="42BA73D1" w14:textId="77777777" w:rsidR="00834767" w:rsidRPr="00BE383A" w:rsidRDefault="00834767" w:rsidP="001545ED">
      <w:pPr>
        <w:spacing w:line="240" w:lineRule="auto"/>
        <w:rPr>
          <w:sz w:val="20"/>
          <w:szCs w:val="20"/>
        </w:rPr>
      </w:pPr>
    </w:p>
    <w:p w14:paraId="05F9FFCE" w14:textId="77777777" w:rsidR="00834767" w:rsidRPr="00BE383A" w:rsidRDefault="00834767" w:rsidP="001545ED">
      <w:pPr>
        <w:spacing w:line="240" w:lineRule="auto"/>
        <w:rPr>
          <w:sz w:val="20"/>
          <w:szCs w:val="20"/>
        </w:rPr>
      </w:pPr>
    </w:p>
    <w:p w14:paraId="62D7445F" w14:textId="77777777" w:rsidR="00834767" w:rsidRPr="00BE383A" w:rsidRDefault="00834767" w:rsidP="001545ED">
      <w:pPr>
        <w:spacing w:line="240" w:lineRule="auto"/>
        <w:rPr>
          <w:sz w:val="20"/>
          <w:szCs w:val="20"/>
        </w:rPr>
      </w:pPr>
    </w:p>
    <w:p w14:paraId="7766D5BD" w14:textId="77777777" w:rsidR="00834767" w:rsidRPr="00BE383A" w:rsidRDefault="00834767" w:rsidP="001545ED">
      <w:pPr>
        <w:spacing w:line="240" w:lineRule="auto"/>
        <w:rPr>
          <w:sz w:val="20"/>
          <w:szCs w:val="20"/>
        </w:rPr>
      </w:pPr>
    </w:p>
    <w:p w14:paraId="3F229CB6" w14:textId="77777777" w:rsidR="00834767" w:rsidRPr="00BE383A" w:rsidRDefault="00834767" w:rsidP="001545ED">
      <w:pPr>
        <w:spacing w:line="240" w:lineRule="auto"/>
        <w:rPr>
          <w:sz w:val="20"/>
          <w:szCs w:val="20"/>
        </w:rPr>
      </w:pPr>
    </w:p>
    <w:p w14:paraId="2DE2BF12" w14:textId="77777777" w:rsidR="00834767" w:rsidRPr="0000157D" w:rsidRDefault="00326F97" w:rsidP="0000157D">
      <w:pPr>
        <w:pStyle w:val="Dimension"/>
      </w:pPr>
      <w:bookmarkStart w:id="2" w:name="_3znysh7"/>
      <w:bookmarkEnd w:id="2"/>
      <w:r w:rsidRPr="00BE383A">
        <w:lastRenderedPageBreak/>
        <w:t xml:space="preserve">Aspect 7.1.1 : </w:t>
      </w:r>
      <w:r w:rsidRPr="001952C1">
        <w:t>Droits en matière de vote et d'élection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545ED" w:rsidRPr="00BE383A" w14:paraId="539E911F" w14:textId="77777777" w:rsidTr="00BA3230">
        <w:tc>
          <w:tcPr>
            <w:tcW w:w="9350" w:type="dxa"/>
            <w:shd w:val="clear" w:color="auto" w:fill="EEEEEE"/>
          </w:tcPr>
          <w:p w14:paraId="6EC8DDEB" w14:textId="77777777" w:rsidR="00834767" w:rsidRPr="00BE383A" w:rsidRDefault="00326F97" w:rsidP="00BA3230">
            <w:pPr>
              <w:spacing w:line="240" w:lineRule="auto"/>
              <w:rPr>
                <w:sz w:val="20"/>
                <w:szCs w:val="20"/>
              </w:rPr>
            </w:pPr>
            <w:r w:rsidRPr="00BE383A">
              <w:rPr>
                <w:sz w:val="20"/>
              </w:rPr>
              <w:t>Cet aspect s'applique aux éléments suivants :</w:t>
            </w:r>
          </w:p>
          <w:p w14:paraId="2AF66C0B" w14:textId="77777777" w:rsidR="00834767" w:rsidRPr="00BE383A" w:rsidRDefault="00326F97" w:rsidP="00BA3230">
            <w:pPr>
              <w:pStyle w:val="Paragraphedeliste"/>
              <w:numPr>
                <w:ilvl w:val="0"/>
                <w:numId w:val="8"/>
              </w:numPr>
              <w:spacing w:line="240" w:lineRule="auto"/>
              <w:rPr>
                <w:rFonts w:eastAsia="Calibri" w:cs="Calibri"/>
                <w:sz w:val="20"/>
                <w:szCs w:val="20"/>
              </w:rPr>
            </w:pPr>
            <w:r w:rsidRPr="00BE383A">
              <w:rPr>
                <w:sz w:val="20"/>
              </w:rPr>
              <w:t>Indicateur 7.1 : Intégrité des élections</w:t>
            </w:r>
          </w:p>
          <w:p w14:paraId="4A9BBC96" w14:textId="77777777" w:rsidR="00834767" w:rsidRPr="00BE383A" w:rsidRDefault="00326F97" w:rsidP="00BA3230">
            <w:pPr>
              <w:pStyle w:val="Paragraphedeliste"/>
              <w:numPr>
                <w:ilvl w:val="0"/>
                <w:numId w:val="8"/>
              </w:numPr>
              <w:spacing w:line="240" w:lineRule="auto"/>
              <w:rPr>
                <w:rFonts w:eastAsia="Calibri" w:cs="Calibri"/>
                <w:sz w:val="24"/>
                <w:szCs w:val="20"/>
              </w:rPr>
            </w:pPr>
            <w:r w:rsidRPr="00BE383A">
              <w:rPr>
                <w:sz w:val="20"/>
              </w:rPr>
              <w:t>Cible 7 : Des parlements représentatifs</w:t>
            </w:r>
          </w:p>
        </w:tc>
      </w:tr>
    </w:tbl>
    <w:p w14:paraId="053228CF" w14:textId="77777777" w:rsidR="00834767" w:rsidRPr="00BE383A" w:rsidRDefault="00326F97" w:rsidP="0000157D">
      <w:pPr>
        <w:pStyle w:val="section-title"/>
      </w:pPr>
      <w:r w:rsidRPr="00BE383A">
        <w:t>À propos de l'aspect</w:t>
      </w:r>
    </w:p>
    <w:p w14:paraId="705438CE" w14:textId="73D560C2" w:rsidR="00834767" w:rsidRPr="00BE383A" w:rsidRDefault="00326F97" w:rsidP="001545ED">
      <w:pPr>
        <w:spacing w:line="240" w:lineRule="auto"/>
        <w:rPr>
          <w:sz w:val="20"/>
        </w:rPr>
      </w:pPr>
      <w:r w:rsidRPr="00BE383A">
        <w:rPr>
          <w:sz w:val="20"/>
        </w:rPr>
        <w:t xml:space="preserve">Le présent aspect traite des dispositions de la Constitution ou des autres </w:t>
      </w:r>
      <w:r w:rsidR="005D23A1" w:rsidRPr="00BE383A">
        <w:rPr>
          <w:sz w:val="20"/>
        </w:rPr>
        <w:t xml:space="preserve">éléments </w:t>
      </w:r>
      <w:r w:rsidRPr="00BE383A">
        <w:rPr>
          <w:sz w:val="20"/>
        </w:rPr>
        <w:t>du cadre juridique jetant les bases d'un processus électoral démocratique.</w:t>
      </w:r>
    </w:p>
    <w:p w14:paraId="6A142C19" w14:textId="77777777" w:rsidR="00834767" w:rsidRPr="00BE383A" w:rsidRDefault="00834767" w:rsidP="001545ED">
      <w:pPr>
        <w:spacing w:line="240" w:lineRule="auto"/>
        <w:rPr>
          <w:sz w:val="20"/>
        </w:rPr>
      </w:pPr>
    </w:p>
    <w:p w14:paraId="22EC9F43" w14:textId="77777777" w:rsidR="00834767" w:rsidRPr="00BE383A" w:rsidRDefault="00326F97" w:rsidP="001545ED">
      <w:pPr>
        <w:spacing w:line="240" w:lineRule="auto"/>
        <w:rPr>
          <w:sz w:val="20"/>
        </w:rPr>
      </w:pPr>
      <w:r w:rsidRPr="00BE383A">
        <w:rPr>
          <w:sz w:val="20"/>
        </w:rPr>
        <w:t>La Constitution définit les principes fondamentaux s'appliquant aux élections, parmi lesquels le mode de scrutin, le suffrage universel, la fréquence des élections et le recours au vote à bulletin secret.</w:t>
      </w:r>
    </w:p>
    <w:p w14:paraId="6AA6A18F" w14:textId="77777777" w:rsidR="00834767" w:rsidRPr="00BE383A" w:rsidRDefault="00834767" w:rsidP="001545ED">
      <w:pPr>
        <w:spacing w:line="240" w:lineRule="auto"/>
        <w:rPr>
          <w:sz w:val="20"/>
        </w:rPr>
      </w:pPr>
    </w:p>
    <w:p w14:paraId="1590CB16" w14:textId="77777777" w:rsidR="00834767" w:rsidRPr="00BE383A" w:rsidRDefault="00326F97" w:rsidP="001545ED">
      <w:pPr>
        <w:spacing w:line="240" w:lineRule="auto"/>
        <w:rPr>
          <w:sz w:val="20"/>
          <w:szCs w:val="20"/>
        </w:rPr>
      </w:pPr>
      <w:r w:rsidRPr="00BE383A">
        <w:rPr>
          <w:sz w:val="20"/>
        </w:rPr>
        <w:t>La législation électorale aborde des questions relatives à la gestion des élections, notamment la composition de l'administration, le découpage des circonscriptions électorales et autres questions de procédure, ainsi qu'aux droits de l'homme fondamentaux tels que la liberté d'expression, la liberté de circulation, la liberté d'association et de réunion pacifique, ainsi que l'accès à l'information pendant le processus électoral. La stabilité de la législation électorale est importante pour la crédibilité du processus électoral.</w:t>
      </w:r>
    </w:p>
    <w:p w14:paraId="6ECBC030" w14:textId="77777777" w:rsidR="00834767" w:rsidRPr="00BE383A" w:rsidRDefault="00326F97" w:rsidP="0000157D">
      <w:pPr>
        <w:pStyle w:val="section-title"/>
      </w:pPr>
      <w:r w:rsidRPr="00BE383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CellMar>
          <w:left w:w="115" w:type="dxa"/>
          <w:right w:w="115" w:type="dxa"/>
        </w:tblCellMar>
        <w:tblLook w:val="0400" w:firstRow="0" w:lastRow="0" w:firstColumn="0" w:lastColumn="0" w:noHBand="0" w:noVBand="1"/>
      </w:tblPr>
      <w:tblGrid>
        <w:gridCol w:w="9120"/>
      </w:tblGrid>
      <w:tr w:rsidR="00F30DB7" w:rsidRPr="00BE383A" w14:paraId="4B3CA164" w14:textId="77777777" w:rsidTr="00BA3230">
        <w:tc>
          <w:tcPr>
            <w:tcW w:w="5000" w:type="pct"/>
            <w:shd w:val="clear" w:color="auto" w:fill="EEEEEE"/>
          </w:tcPr>
          <w:p w14:paraId="1998F04B" w14:textId="77777777" w:rsidR="00834767" w:rsidRPr="00BE383A" w:rsidRDefault="00326F97" w:rsidP="00BA3230">
            <w:pPr>
              <w:spacing w:line="240" w:lineRule="auto"/>
              <w:rPr>
                <w:i/>
                <w:sz w:val="20"/>
                <w:szCs w:val="20"/>
              </w:rPr>
            </w:pPr>
            <w:r w:rsidRPr="00BE383A">
              <w:rPr>
                <w:i/>
                <w:sz w:val="20"/>
              </w:rPr>
              <w:t xml:space="preserve">Après une analyse comparative, les parlements pourraient par exemple viser les objectifs suivants en ce qui concerne </w:t>
            </w:r>
            <w:r w:rsidRPr="001952C1">
              <w:rPr>
                <w:i/>
                <w:sz w:val="20"/>
              </w:rPr>
              <w:t>les droits en matière de vote et d'élection :</w:t>
            </w:r>
          </w:p>
          <w:p w14:paraId="1B4734A8" w14:textId="77777777" w:rsidR="00834767" w:rsidRPr="00BE383A" w:rsidRDefault="00834767" w:rsidP="00BA3230">
            <w:pPr>
              <w:spacing w:line="240" w:lineRule="auto"/>
              <w:rPr>
                <w:sz w:val="20"/>
                <w:szCs w:val="20"/>
              </w:rPr>
            </w:pPr>
          </w:p>
          <w:p w14:paraId="15BBC87B" w14:textId="77777777" w:rsidR="00834767" w:rsidRPr="00BE383A" w:rsidRDefault="00326F97" w:rsidP="00BA3230">
            <w:pPr>
              <w:spacing w:line="240" w:lineRule="auto"/>
              <w:rPr>
                <w:sz w:val="20"/>
              </w:rPr>
            </w:pPr>
            <w:r w:rsidRPr="00BE383A">
              <w:rPr>
                <w:sz w:val="20"/>
              </w:rPr>
              <w:t>La Constitution ou les autres éléments du cadre juridique définissent les principes fondamentaux en matière d'élection. Le cadre juridique des élections est clair, cohérent, dénué d'ambigüité et conforme aux normes électorales internationales.</w:t>
            </w:r>
          </w:p>
          <w:p w14:paraId="6006DA0B" w14:textId="77777777" w:rsidR="00834767" w:rsidRPr="00BE383A" w:rsidRDefault="00834767" w:rsidP="00BA3230">
            <w:pPr>
              <w:spacing w:line="240" w:lineRule="auto"/>
              <w:rPr>
                <w:sz w:val="20"/>
                <w:szCs w:val="20"/>
              </w:rPr>
            </w:pPr>
          </w:p>
          <w:p w14:paraId="01E7BD27" w14:textId="77777777" w:rsidR="00834767" w:rsidRPr="00BE383A" w:rsidRDefault="00326F97" w:rsidP="00BA3230">
            <w:pPr>
              <w:spacing w:line="240" w:lineRule="auto"/>
              <w:rPr>
                <w:sz w:val="20"/>
                <w:szCs w:val="20"/>
              </w:rPr>
            </w:pPr>
            <w:r w:rsidRPr="00BE383A">
              <w:rPr>
                <w:sz w:val="20"/>
              </w:rPr>
              <w:t>La législation électorale est amendée en temps voulu, au moins un an avant la tenue des élections.</w:t>
            </w:r>
          </w:p>
          <w:p w14:paraId="32503CE3" w14:textId="77777777" w:rsidR="00834767" w:rsidRPr="00BE383A" w:rsidRDefault="00834767" w:rsidP="00BA3230">
            <w:pPr>
              <w:spacing w:line="240" w:lineRule="auto"/>
              <w:rPr>
                <w:color w:val="005F9A"/>
                <w:sz w:val="20"/>
                <w:szCs w:val="20"/>
              </w:rPr>
            </w:pPr>
          </w:p>
        </w:tc>
      </w:tr>
    </w:tbl>
    <w:p w14:paraId="70084A66" w14:textId="77777777" w:rsidR="00834767" w:rsidRPr="00BE383A" w:rsidRDefault="00326F97" w:rsidP="0000157D">
      <w:pPr>
        <w:pStyle w:val="section-title"/>
      </w:pPr>
      <w:r w:rsidRPr="00BE383A">
        <w:t>Évaluation</w:t>
      </w:r>
    </w:p>
    <w:p w14:paraId="091B196E" w14:textId="77777777" w:rsidR="00834767" w:rsidRPr="00BE383A" w:rsidRDefault="00326F97" w:rsidP="001545ED">
      <w:pPr>
        <w:spacing w:before="200" w:line="240" w:lineRule="auto"/>
        <w:rPr>
          <w:sz w:val="20"/>
          <w:szCs w:val="20"/>
        </w:rPr>
      </w:pPr>
      <w:r w:rsidRPr="00BE383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FAB3380" w14:textId="77777777" w:rsidR="00834767" w:rsidRPr="00BE383A" w:rsidRDefault="00326F97" w:rsidP="001545ED">
      <w:pPr>
        <w:spacing w:before="200" w:line="240" w:lineRule="auto"/>
        <w:rPr>
          <w:sz w:val="20"/>
          <w:szCs w:val="20"/>
        </w:rPr>
      </w:pPr>
      <w:r w:rsidRPr="00BE383A">
        <w:rPr>
          <w:sz w:val="20"/>
        </w:rPr>
        <w:t>Exemples d'éléments permettant d'étayer l'évaluation :</w:t>
      </w:r>
    </w:p>
    <w:p w14:paraId="15E3AB97" w14:textId="77777777" w:rsidR="00834767" w:rsidRPr="00BE383A" w:rsidRDefault="00834767" w:rsidP="001545ED">
      <w:pPr>
        <w:spacing w:line="240" w:lineRule="auto"/>
        <w:rPr>
          <w:sz w:val="20"/>
          <w:szCs w:val="20"/>
        </w:rPr>
      </w:pPr>
    </w:p>
    <w:p w14:paraId="5A3A7D85" w14:textId="77777777" w:rsidR="00834767" w:rsidRPr="00BE383A" w:rsidRDefault="00326F97" w:rsidP="001545ED">
      <w:pPr>
        <w:numPr>
          <w:ilvl w:val="0"/>
          <w:numId w:val="2"/>
        </w:numPr>
        <w:spacing w:line="240" w:lineRule="auto"/>
        <w:ind w:left="562" w:hanging="562"/>
        <w:rPr>
          <w:sz w:val="20"/>
          <w:szCs w:val="20"/>
        </w:rPr>
      </w:pPr>
      <w:r w:rsidRPr="00BE383A">
        <w:rPr>
          <w:sz w:val="20"/>
        </w:rPr>
        <w:t>Dispositions de la Constitution ou autres éléments du cadre juridique définissant le mode de scrutin, la fréquence des élections et le recours au vote à bulletin secret</w:t>
      </w:r>
    </w:p>
    <w:p w14:paraId="10EE43F7" w14:textId="77777777" w:rsidR="00834767" w:rsidRPr="00BE383A" w:rsidRDefault="00326F97" w:rsidP="001545ED">
      <w:pPr>
        <w:numPr>
          <w:ilvl w:val="0"/>
          <w:numId w:val="2"/>
        </w:numPr>
        <w:spacing w:line="240" w:lineRule="auto"/>
        <w:ind w:left="562" w:hanging="562"/>
        <w:rPr>
          <w:sz w:val="20"/>
          <w:szCs w:val="20"/>
        </w:rPr>
      </w:pPr>
      <w:r w:rsidRPr="00BE383A">
        <w:rPr>
          <w:sz w:val="20"/>
        </w:rPr>
        <w:t>Dispositions de la Constitution ou autres éléments du cadre juridique garantissant à tous les citoyens au-dessus d'un certain âge le suffrage universel et égal</w:t>
      </w:r>
    </w:p>
    <w:p w14:paraId="1FB21CBF" w14:textId="77777777" w:rsidR="00834767" w:rsidRPr="00BE383A" w:rsidRDefault="00326F97" w:rsidP="001545ED">
      <w:pPr>
        <w:numPr>
          <w:ilvl w:val="0"/>
          <w:numId w:val="2"/>
        </w:numPr>
        <w:spacing w:line="240" w:lineRule="auto"/>
        <w:ind w:left="562" w:hanging="562"/>
        <w:rPr>
          <w:sz w:val="20"/>
          <w:szCs w:val="20"/>
        </w:rPr>
      </w:pPr>
      <w:r w:rsidRPr="00BE383A">
        <w:rPr>
          <w:sz w:val="20"/>
        </w:rPr>
        <w:t>Précisions sur les aménagements apportés à l'intention de groupes particuliers de la population, notamment accessibilité des bureaux de vote et traduction de la documentation électorale dans des langues minoritaires</w:t>
      </w:r>
    </w:p>
    <w:p w14:paraId="0F057FD7" w14:textId="77777777" w:rsidR="00834767" w:rsidRPr="00BE383A" w:rsidRDefault="00326F97" w:rsidP="001545ED">
      <w:pPr>
        <w:numPr>
          <w:ilvl w:val="0"/>
          <w:numId w:val="2"/>
        </w:numPr>
        <w:spacing w:line="240" w:lineRule="auto"/>
        <w:ind w:left="562" w:hanging="562"/>
        <w:rPr>
          <w:sz w:val="20"/>
          <w:szCs w:val="20"/>
        </w:rPr>
      </w:pPr>
      <w:r w:rsidRPr="00BE383A">
        <w:rPr>
          <w:sz w:val="20"/>
        </w:rPr>
        <w:t>Dispositions de la législation électorale pertinentes</w:t>
      </w:r>
    </w:p>
    <w:p w14:paraId="61061446" w14:textId="5BEDDA7A" w:rsidR="00834767" w:rsidRPr="00BE383A" w:rsidRDefault="00326F97" w:rsidP="001545ED">
      <w:pPr>
        <w:numPr>
          <w:ilvl w:val="0"/>
          <w:numId w:val="2"/>
        </w:numPr>
        <w:spacing w:line="240" w:lineRule="auto"/>
        <w:ind w:left="562" w:hanging="562"/>
        <w:rPr>
          <w:sz w:val="20"/>
          <w:szCs w:val="20"/>
        </w:rPr>
      </w:pPr>
      <w:r w:rsidRPr="00BE383A">
        <w:rPr>
          <w:sz w:val="20"/>
        </w:rPr>
        <w:t>Dispositions du cadre juridique établissant des mécanismes et des voies de recours efficaces en cas de violation des droits électoraux</w:t>
      </w:r>
    </w:p>
    <w:p w14:paraId="4144B1F9" w14:textId="77777777" w:rsidR="00834767" w:rsidRPr="00BE383A" w:rsidRDefault="00834767" w:rsidP="001545ED">
      <w:pPr>
        <w:spacing w:line="240" w:lineRule="auto"/>
        <w:rPr>
          <w:sz w:val="20"/>
          <w:szCs w:val="20"/>
        </w:rPr>
      </w:pPr>
    </w:p>
    <w:p w14:paraId="036C708E" w14:textId="77777777" w:rsidR="00834767" w:rsidRPr="00BE383A" w:rsidRDefault="00326F97" w:rsidP="001545ED">
      <w:pPr>
        <w:spacing w:line="240" w:lineRule="auto"/>
        <w:rPr>
          <w:sz w:val="20"/>
          <w:szCs w:val="20"/>
        </w:rPr>
      </w:pPr>
      <w:r w:rsidRPr="00BE383A">
        <w:rPr>
          <w:sz w:val="20"/>
        </w:rPr>
        <w:t>Le cas échéant, merci de bien vouloir communiquer des observations ou exemples supplémentaires pour étayer l'évaluation.</w:t>
      </w:r>
    </w:p>
    <w:p w14:paraId="7226BBEB" w14:textId="77777777" w:rsidR="00834767" w:rsidRPr="00BE383A" w:rsidRDefault="00834767" w:rsidP="001545ED">
      <w:pPr>
        <w:spacing w:line="240" w:lineRule="auto"/>
        <w:rPr>
          <w:sz w:val="20"/>
          <w:szCs w:val="20"/>
        </w:rPr>
      </w:pPr>
    </w:p>
    <w:p w14:paraId="53041963" w14:textId="6FE6C5A9" w:rsidR="00834767" w:rsidRPr="00BE383A" w:rsidRDefault="00326F97" w:rsidP="00BE3512">
      <w:pPr>
        <w:pStyle w:val="Titre4"/>
      </w:pPr>
      <w:bookmarkStart w:id="3" w:name="_g62257c2ck7p"/>
      <w:bookmarkEnd w:id="3"/>
      <w:r w:rsidRPr="00BE383A">
        <w:lastRenderedPageBreak/>
        <w:t xml:space="preserve">Critère d'évaluation n° 1 : Constitution ou </w:t>
      </w:r>
      <w:r w:rsidR="005D23A1" w:rsidRPr="00BE383A">
        <w:t xml:space="preserve">cadre </w:t>
      </w:r>
      <w:r w:rsidRPr="00BE383A">
        <w:t>juridique</w:t>
      </w:r>
    </w:p>
    <w:p w14:paraId="5F4EBDE9" w14:textId="0339C8BA" w:rsidR="00834767" w:rsidRPr="00BE383A" w:rsidRDefault="00326F97" w:rsidP="001545ED">
      <w:pPr>
        <w:spacing w:line="240" w:lineRule="auto"/>
        <w:rPr>
          <w:sz w:val="20"/>
          <w:szCs w:val="20"/>
        </w:rPr>
      </w:pPr>
      <w:r w:rsidRPr="00BE383A">
        <w:rPr>
          <w:sz w:val="20"/>
        </w:rPr>
        <w:t>La Constitution ou les autres éléments du cadre juridique définissent les principes fondamentaux en matière d'élection. Ces dispositions sont claires, cohérentes, dénuées d'ambigüité et conformes aux normes électorales internationales</w:t>
      </w:r>
      <w:r w:rsidR="005D23A1" w:rsidRPr="00BE383A">
        <w:rPr>
          <w:sz w:val="20"/>
        </w:rPr>
        <w:t>.</w:t>
      </w:r>
    </w:p>
    <w:p w14:paraId="6AD87067" w14:textId="77777777" w:rsidR="00834767" w:rsidRPr="00BE383A" w:rsidRDefault="0083476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BE383A" w14:paraId="20FA0E17"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5D1AAE" w14:textId="77777777" w:rsidR="00834767" w:rsidRPr="00BE383A" w:rsidRDefault="00326F97">
            <w:pPr>
              <w:jc w:val="center"/>
              <w:rPr>
                <w:sz w:val="20"/>
                <w:szCs w:val="20"/>
              </w:rPr>
            </w:pPr>
            <w:r w:rsidRPr="00BE383A">
              <w:rPr>
                <w:sz w:val="20"/>
              </w:rPr>
              <w:t>Néant</w:t>
            </w:r>
          </w:p>
          <w:p w14:paraId="6AD5310B"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C756CE" w14:textId="77777777" w:rsidR="00834767" w:rsidRPr="00BE383A" w:rsidRDefault="00326F97">
            <w:pPr>
              <w:jc w:val="center"/>
              <w:rPr>
                <w:sz w:val="20"/>
                <w:szCs w:val="20"/>
              </w:rPr>
            </w:pPr>
            <w:r w:rsidRPr="00BE383A">
              <w:rPr>
                <w:sz w:val="20"/>
              </w:rPr>
              <w:t xml:space="preserve">Médiocre </w:t>
            </w:r>
          </w:p>
          <w:p w14:paraId="6D59CE36"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48E25B" w14:textId="77777777" w:rsidR="00834767" w:rsidRPr="00BE383A" w:rsidRDefault="00326F97">
            <w:pPr>
              <w:jc w:val="center"/>
              <w:rPr>
                <w:sz w:val="20"/>
                <w:szCs w:val="20"/>
              </w:rPr>
            </w:pPr>
            <w:r w:rsidRPr="00BE383A">
              <w:rPr>
                <w:sz w:val="20"/>
              </w:rPr>
              <w:t>Moyen</w:t>
            </w:r>
          </w:p>
          <w:p w14:paraId="6C2096E5"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49C73A" w14:textId="77777777" w:rsidR="00834767" w:rsidRPr="00BE383A" w:rsidRDefault="00326F97">
            <w:pPr>
              <w:jc w:val="center"/>
              <w:rPr>
                <w:sz w:val="20"/>
                <w:szCs w:val="20"/>
              </w:rPr>
            </w:pPr>
            <w:r w:rsidRPr="00BE383A">
              <w:rPr>
                <w:sz w:val="20"/>
              </w:rPr>
              <w:t>Bon</w:t>
            </w:r>
          </w:p>
          <w:p w14:paraId="5E6CD59C"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4B9DD6" w14:textId="77777777" w:rsidR="00834767" w:rsidRPr="00BE383A" w:rsidRDefault="00326F97">
            <w:pPr>
              <w:jc w:val="center"/>
              <w:rPr>
                <w:sz w:val="20"/>
                <w:szCs w:val="20"/>
              </w:rPr>
            </w:pPr>
            <w:r w:rsidRPr="00BE383A">
              <w:rPr>
                <w:sz w:val="20"/>
              </w:rPr>
              <w:t>Très bon</w:t>
            </w:r>
          </w:p>
          <w:p w14:paraId="3FF2DE41"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3453057" w14:textId="77777777" w:rsidR="00834767" w:rsidRPr="00BE383A" w:rsidRDefault="00326F97">
            <w:pPr>
              <w:jc w:val="center"/>
              <w:rPr>
                <w:sz w:val="20"/>
                <w:szCs w:val="20"/>
              </w:rPr>
            </w:pPr>
            <w:r w:rsidRPr="00BE383A">
              <w:rPr>
                <w:sz w:val="20"/>
              </w:rPr>
              <w:t>Excellent</w:t>
            </w:r>
          </w:p>
          <w:p w14:paraId="705C5371" w14:textId="77777777" w:rsidR="00834767" w:rsidRPr="00BE383A" w:rsidRDefault="00326F97">
            <w:pPr>
              <w:jc w:val="center"/>
              <w:rPr>
                <w:sz w:val="20"/>
                <w:szCs w:val="20"/>
              </w:rPr>
            </w:pPr>
            <w:r w:rsidRPr="00BE383A">
              <w:rPr>
                <w:rFonts w:ascii="Segoe UI Symbol" w:hAnsi="Segoe UI Symbol" w:cs="Segoe UI Symbol"/>
                <w:sz w:val="20"/>
                <w:cs/>
              </w:rPr>
              <w:t>☐</w:t>
            </w:r>
          </w:p>
        </w:tc>
      </w:tr>
      <w:tr w:rsidR="001545ED" w:rsidRPr="00BE383A" w14:paraId="60318DF3"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B3B88" w14:textId="77777777" w:rsidR="00834767" w:rsidRPr="00BE383A" w:rsidRDefault="00326F97">
            <w:pPr>
              <w:rPr>
                <w:color w:val="005F9A"/>
                <w:sz w:val="20"/>
                <w:szCs w:val="20"/>
              </w:rPr>
            </w:pPr>
            <w:r w:rsidRPr="00BE383A">
              <w:rPr>
                <w:color w:val="005F9A"/>
                <w:sz w:val="20"/>
              </w:rPr>
              <w:t>Éléments à l'appui de l'évaluation :</w:t>
            </w:r>
          </w:p>
          <w:p w14:paraId="4827AC91" w14:textId="77777777" w:rsidR="00834767" w:rsidRPr="00BE383A" w:rsidRDefault="00834767">
            <w:pPr>
              <w:rPr>
                <w:color w:val="0000FF"/>
                <w:sz w:val="20"/>
                <w:szCs w:val="20"/>
              </w:rPr>
            </w:pPr>
          </w:p>
          <w:p w14:paraId="3514208D" w14:textId="77777777" w:rsidR="00834767" w:rsidRPr="00BE383A" w:rsidRDefault="00834767">
            <w:pPr>
              <w:rPr>
                <w:color w:val="0000FF"/>
                <w:sz w:val="20"/>
                <w:szCs w:val="20"/>
              </w:rPr>
            </w:pPr>
          </w:p>
        </w:tc>
      </w:tr>
    </w:tbl>
    <w:p w14:paraId="681F7D1D" w14:textId="77777777" w:rsidR="00834767" w:rsidRPr="00BE383A" w:rsidRDefault="00326F97" w:rsidP="00BE3512">
      <w:pPr>
        <w:pStyle w:val="Titre4"/>
        <w:rPr>
          <w:szCs w:val="20"/>
        </w:rPr>
      </w:pPr>
      <w:bookmarkStart w:id="4" w:name="_nzclfs54fege"/>
      <w:bookmarkEnd w:id="4"/>
      <w:r w:rsidRPr="00BE383A">
        <w:t xml:space="preserve">Critère d'évaluation n° 2 : Stabilité de la législation électorale </w:t>
      </w:r>
    </w:p>
    <w:p w14:paraId="1B0FB993" w14:textId="77777777" w:rsidR="00834767" w:rsidRPr="00BE383A" w:rsidRDefault="00326F97" w:rsidP="001545ED">
      <w:pPr>
        <w:spacing w:line="240" w:lineRule="auto"/>
        <w:rPr>
          <w:sz w:val="20"/>
          <w:szCs w:val="20"/>
        </w:rPr>
      </w:pPr>
      <w:r w:rsidRPr="00BE383A">
        <w:rPr>
          <w:sz w:val="20"/>
        </w:rPr>
        <w:t>La législation électorale est amendée en temps voulu, au moins un an avant la tenue des élections.</w:t>
      </w:r>
    </w:p>
    <w:p w14:paraId="454EEF6E" w14:textId="77777777" w:rsidR="00834767" w:rsidRPr="00BE383A" w:rsidRDefault="0083476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BE383A" w14:paraId="06827A67"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441D31" w14:textId="77777777" w:rsidR="00834767" w:rsidRPr="00BE383A" w:rsidRDefault="00326F97">
            <w:pPr>
              <w:jc w:val="center"/>
              <w:rPr>
                <w:sz w:val="20"/>
                <w:szCs w:val="20"/>
              </w:rPr>
            </w:pPr>
            <w:r w:rsidRPr="00BE383A">
              <w:rPr>
                <w:sz w:val="20"/>
              </w:rPr>
              <w:t>Néant</w:t>
            </w:r>
          </w:p>
          <w:p w14:paraId="50208630"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C8D1C8" w14:textId="77777777" w:rsidR="00834767" w:rsidRPr="00BE383A" w:rsidRDefault="00326F97">
            <w:pPr>
              <w:jc w:val="center"/>
              <w:rPr>
                <w:sz w:val="20"/>
                <w:szCs w:val="20"/>
              </w:rPr>
            </w:pPr>
            <w:r w:rsidRPr="00BE383A">
              <w:rPr>
                <w:sz w:val="20"/>
              </w:rPr>
              <w:t xml:space="preserve">Médiocre </w:t>
            </w:r>
          </w:p>
          <w:p w14:paraId="5524AE8F"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499A08" w14:textId="77777777" w:rsidR="00834767" w:rsidRPr="00BE383A" w:rsidRDefault="00326F97">
            <w:pPr>
              <w:jc w:val="center"/>
              <w:rPr>
                <w:sz w:val="20"/>
                <w:szCs w:val="20"/>
              </w:rPr>
            </w:pPr>
            <w:r w:rsidRPr="00BE383A">
              <w:rPr>
                <w:sz w:val="20"/>
              </w:rPr>
              <w:t>Moyen</w:t>
            </w:r>
          </w:p>
          <w:p w14:paraId="51A72F4C"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CE6355" w14:textId="77777777" w:rsidR="00834767" w:rsidRPr="00BE383A" w:rsidRDefault="00326F97">
            <w:pPr>
              <w:jc w:val="center"/>
              <w:rPr>
                <w:sz w:val="20"/>
                <w:szCs w:val="20"/>
              </w:rPr>
            </w:pPr>
            <w:r w:rsidRPr="00BE383A">
              <w:rPr>
                <w:sz w:val="20"/>
              </w:rPr>
              <w:t>Bon</w:t>
            </w:r>
          </w:p>
          <w:p w14:paraId="29C57CDC"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53DA9E" w14:textId="77777777" w:rsidR="00834767" w:rsidRPr="00BE383A" w:rsidRDefault="00326F97">
            <w:pPr>
              <w:jc w:val="center"/>
              <w:rPr>
                <w:sz w:val="20"/>
                <w:szCs w:val="20"/>
              </w:rPr>
            </w:pPr>
            <w:r w:rsidRPr="00BE383A">
              <w:rPr>
                <w:sz w:val="20"/>
              </w:rPr>
              <w:t>Très bon</w:t>
            </w:r>
          </w:p>
          <w:p w14:paraId="63F698F1"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6564293" w14:textId="77777777" w:rsidR="00834767" w:rsidRPr="00BE383A" w:rsidRDefault="00326F97">
            <w:pPr>
              <w:jc w:val="center"/>
              <w:rPr>
                <w:sz w:val="20"/>
                <w:szCs w:val="20"/>
              </w:rPr>
            </w:pPr>
            <w:r w:rsidRPr="00BE383A">
              <w:rPr>
                <w:sz w:val="20"/>
              </w:rPr>
              <w:t>Excellent</w:t>
            </w:r>
          </w:p>
          <w:p w14:paraId="3644BFE5" w14:textId="77777777" w:rsidR="00834767" w:rsidRPr="00BE383A" w:rsidRDefault="00326F97">
            <w:pPr>
              <w:jc w:val="center"/>
              <w:rPr>
                <w:sz w:val="20"/>
                <w:szCs w:val="20"/>
              </w:rPr>
            </w:pPr>
            <w:r w:rsidRPr="00BE383A">
              <w:rPr>
                <w:rFonts w:ascii="Segoe UI Symbol" w:hAnsi="Segoe UI Symbol" w:cs="Segoe UI Symbol"/>
                <w:sz w:val="20"/>
                <w:cs/>
              </w:rPr>
              <w:t>☐</w:t>
            </w:r>
          </w:p>
        </w:tc>
      </w:tr>
      <w:tr w:rsidR="001545ED" w:rsidRPr="00BE383A" w14:paraId="3473108E"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E7C76" w14:textId="77777777" w:rsidR="00834767" w:rsidRPr="00BE383A" w:rsidRDefault="00326F97">
            <w:pPr>
              <w:rPr>
                <w:color w:val="005F9A"/>
                <w:sz w:val="20"/>
                <w:szCs w:val="20"/>
              </w:rPr>
            </w:pPr>
            <w:r w:rsidRPr="00BE383A">
              <w:rPr>
                <w:color w:val="005F9A"/>
                <w:sz w:val="20"/>
              </w:rPr>
              <w:t>Éléments à l'appui de l'évaluation :</w:t>
            </w:r>
          </w:p>
          <w:p w14:paraId="191999CE" w14:textId="77777777" w:rsidR="00834767" w:rsidRPr="00BE383A" w:rsidRDefault="00834767">
            <w:pPr>
              <w:rPr>
                <w:color w:val="0000FF"/>
                <w:sz w:val="20"/>
                <w:szCs w:val="20"/>
              </w:rPr>
            </w:pPr>
          </w:p>
          <w:p w14:paraId="062E2CA3" w14:textId="77777777" w:rsidR="00834767" w:rsidRPr="00BE383A" w:rsidRDefault="00834767">
            <w:pPr>
              <w:rPr>
                <w:color w:val="0000FF"/>
                <w:sz w:val="20"/>
                <w:szCs w:val="20"/>
              </w:rPr>
            </w:pPr>
          </w:p>
        </w:tc>
      </w:tr>
    </w:tbl>
    <w:p w14:paraId="3D4ED8ED" w14:textId="77777777" w:rsidR="00834767" w:rsidRPr="00BE383A" w:rsidRDefault="00326F97" w:rsidP="00BE3512">
      <w:pPr>
        <w:pStyle w:val="Titre4"/>
      </w:pPr>
      <w:bookmarkStart w:id="5" w:name="_qhkaq4auxut0"/>
      <w:bookmarkEnd w:id="5"/>
      <w:r w:rsidRPr="00BE383A">
        <w:t xml:space="preserve">Critère d'évaluation n° 3 : Pratique </w:t>
      </w:r>
    </w:p>
    <w:p w14:paraId="14E4BE90" w14:textId="6CB000E3" w:rsidR="00834767" w:rsidRPr="00BE383A" w:rsidRDefault="00326F97" w:rsidP="001545ED">
      <w:pPr>
        <w:spacing w:line="240" w:lineRule="auto"/>
        <w:rPr>
          <w:sz w:val="20"/>
          <w:szCs w:val="20"/>
        </w:rPr>
      </w:pPr>
      <w:r w:rsidRPr="00BE383A">
        <w:rPr>
          <w:sz w:val="20"/>
        </w:rPr>
        <w:t xml:space="preserve">Dans la pratique, des élections ont lieu à intervalles réguliers. Une part importante de la population </w:t>
      </w:r>
      <w:r w:rsidR="005D23A1" w:rsidRPr="00BE383A">
        <w:rPr>
          <w:sz w:val="20"/>
        </w:rPr>
        <w:t xml:space="preserve">y </w:t>
      </w:r>
      <w:r w:rsidRPr="00BE383A">
        <w:rPr>
          <w:sz w:val="20"/>
        </w:rPr>
        <w:t xml:space="preserve">prend part. </w:t>
      </w:r>
      <w:r w:rsidR="005D23A1" w:rsidRPr="00BE383A">
        <w:rPr>
          <w:sz w:val="20"/>
        </w:rPr>
        <w:t>C</w:t>
      </w:r>
      <w:r w:rsidRPr="00BE383A">
        <w:rPr>
          <w:sz w:val="20"/>
        </w:rPr>
        <w:t>es élections sont concurrentielles et les droits fondamentaux des citoyens sont respectés avant, pendant et après le jour d</w:t>
      </w:r>
      <w:r w:rsidR="005D23A1" w:rsidRPr="00BE383A">
        <w:rPr>
          <w:sz w:val="20"/>
        </w:rPr>
        <w:t>u scrutin</w:t>
      </w:r>
      <w:r w:rsidRPr="00BE383A">
        <w:rPr>
          <w:sz w:val="20"/>
        </w:rPr>
        <w:t xml:space="preserve">. </w:t>
      </w:r>
    </w:p>
    <w:p w14:paraId="266F5236" w14:textId="77777777" w:rsidR="00834767" w:rsidRPr="00BE383A" w:rsidRDefault="0083476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BE383A" w14:paraId="20EF8AC0"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B1A86D" w14:textId="77777777" w:rsidR="00834767" w:rsidRPr="00BE383A" w:rsidRDefault="00326F97">
            <w:pPr>
              <w:jc w:val="center"/>
              <w:rPr>
                <w:sz w:val="20"/>
                <w:szCs w:val="20"/>
              </w:rPr>
            </w:pPr>
            <w:r w:rsidRPr="00BE383A">
              <w:rPr>
                <w:sz w:val="20"/>
              </w:rPr>
              <w:t>Néant</w:t>
            </w:r>
          </w:p>
          <w:p w14:paraId="15972A07"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340C82" w14:textId="77777777" w:rsidR="00834767" w:rsidRPr="00BE383A" w:rsidRDefault="00326F97">
            <w:pPr>
              <w:jc w:val="center"/>
              <w:rPr>
                <w:sz w:val="20"/>
                <w:szCs w:val="20"/>
              </w:rPr>
            </w:pPr>
            <w:r w:rsidRPr="00BE383A">
              <w:rPr>
                <w:sz w:val="20"/>
              </w:rPr>
              <w:t xml:space="preserve">Médiocre </w:t>
            </w:r>
          </w:p>
          <w:p w14:paraId="5ED0B962"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64BC7F" w14:textId="77777777" w:rsidR="00834767" w:rsidRPr="00BE383A" w:rsidRDefault="00326F97">
            <w:pPr>
              <w:jc w:val="center"/>
              <w:rPr>
                <w:sz w:val="20"/>
                <w:szCs w:val="20"/>
              </w:rPr>
            </w:pPr>
            <w:r w:rsidRPr="00BE383A">
              <w:rPr>
                <w:sz w:val="20"/>
              </w:rPr>
              <w:t>Moyen</w:t>
            </w:r>
          </w:p>
          <w:p w14:paraId="1BA00A16"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AFBF70" w14:textId="77777777" w:rsidR="00834767" w:rsidRPr="00BE383A" w:rsidRDefault="00326F97">
            <w:pPr>
              <w:jc w:val="center"/>
              <w:rPr>
                <w:sz w:val="20"/>
                <w:szCs w:val="20"/>
              </w:rPr>
            </w:pPr>
            <w:r w:rsidRPr="00BE383A">
              <w:rPr>
                <w:sz w:val="20"/>
              </w:rPr>
              <w:t>Bon</w:t>
            </w:r>
          </w:p>
          <w:p w14:paraId="2250168A"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7D605B" w14:textId="77777777" w:rsidR="00834767" w:rsidRPr="00BE383A" w:rsidRDefault="00326F97">
            <w:pPr>
              <w:jc w:val="center"/>
              <w:rPr>
                <w:sz w:val="20"/>
                <w:szCs w:val="20"/>
              </w:rPr>
            </w:pPr>
            <w:r w:rsidRPr="00BE383A">
              <w:rPr>
                <w:sz w:val="20"/>
              </w:rPr>
              <w:t>Très bon</w:t>
            </w:r>
          </w:p>
          <w:p w14:paraId="65E6740C" w14:textId="77777777" w:rsidR="00834767" w:rsidRPr="00BE383A" w:rsidRDefault="00326F97">
            <w:pPr>
              <w:jc w:val="center"/>
              <w:rPr>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4FEED44" w14:textId="77777777" w:rsidR="00834767" w:rsidRPr="00BE383A" w:rsidRDefault="00326F97">
            <w:pPr>
              <w:jc w:val="center"/>
              <w:rPr>
                <w:sz w:val="20"/>
                <w:szCs w:val="20"/>
              </w:rPr>
            </w:pPr>
            <w:r w:rsidRPr="00BE383A">
              <w:rPr>
                <w:sz w:val="20"/>
              </w:rPr>
              <w:t>Excellent</w:t>
            </w:r>
          </w:p>
          <w:p w14:paraId="52E11BAD" w14:textId="77777777" w:rsidR="00834767" w:rsidRPr="00BE383A" w:rsidRDefault="00326F97">
            <w:pPr>
              <w:jc w:val="center"/>
              <w:rPr>
                <w:sz w:val="20"/>
                <w:szCs w:val="20"/>
              </w:rPr>
            </w:pPr>
            <w:r w:rsidRPr="00BE383A">
              <w:rPr>
                <w:rFonts w:ascii="Segoe UI Symbol" w:hAnsi="Segoe UI Symbol" w:cs="Segoe UI Symbol"/>
                <w:sz w:val="20"/>
                <w:cs/>
              </w:rPr>
              <w:t>☐</w:t>
            </w:r>
          </w:p>
        </w:tc>
      </w:tr>
      <w:tr w:rsidR="001545ED" w:rsidRPr="00BE383A" w14:paraId="2F6C7F83"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AA57E" w14:textId="77777777" w:rsidR="00834767" w:rsidRPr="00BE383A" w:rsidRDefault="00326F97">
            <w:pPr>
              <w:rPr>
                <w:color w:val="005F9A"/>
                <w:sz w:val="20"/>
                <w:szCs w:val="20"/>
              </w:rPr>
            </w:pPr>
            <w:r w:rsidRPr="00BE383A">
              <w:rPr>
                <w:color w:val="005F9A"/>
                <w:sz w:val="20"/>
              </w:rPr>
              <w:t>Éléments à l'appui de l'évaluation :</w:t>
            </w:r>
          </w:p>
          <w:p w14:paraId="4D9BA006" w14:textId="77777777" w:rsidR="00834767" w:rsidRPr="00BE383A" w:rsidRDefault="00834767">
            <w:pPr>
              <w:rPr>
                <w:color w:val="0000FF"/>
                <w:sz w:val="20"/>
                <w:szCs w:val="20"/>
              </w:rPr>
            </w:pPr>
          </w:p>
          <w:p w14:paraId="6656EA6F" w14:textId="77777777" w:rsidR="00834767" w:rsidRPr="00BE383A" w:rsidRDefault="00834767">
            <w:pPr>
              <w:rPr>
                <w:color w:val="0000FF"/>
                <w:sz w:val="20"/>
                <w:szCs w:val="20"/>
              </w:rPr>
            </w:pPr>
          </w:p>
        </w:tc>
      </w:tr>
    </w:tbl>
    <w:p w14:paraId="7064A099" w14:textId="77777777" w:rsidR="00834767" w:rsidRPr="00BE383A" w:rsidRDefault="00326F97" w:rsidP="0000157D">
      <w:pPr>
        <w:pStyle w:val="section-title"/>
      </w:pPr>
      <w:r w:rsidRPr="00BE383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1545ED" w:rsidRPr="00BE383A" w14:paraId="35D82625" w14:textId="77777777" w:rsidTr="00BA32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F720FE1" w14:textId="77777777" w:rsidR="00834767" w:rsidRPr="00BE383A" w:rsidRDefault="00326F97" w:rsidP="00BA3230">
            <w:pPr>
              <w:keepNext/>
              <w:keepLines/>
              <w:spacing w:line="240" w:lineRule="auto"/>
              <w:rPr>
                <w:rFonts w:eastAsia="Calibri"/>
                <w:sz w:val="20"/>
                <w:szCs w:val="20"/>
              </w:rPr>
            </w:pPr>
            <w:r w:rsidRPr="00BE383A">
              <w:rPr>
                <w:i/>
                <w:color w:val="000000"/>
                <w:sz w:val="20"/>
              </w:rPr>
              <w:t>Dans cet encadré, notez les recommandations et les idées visant à renforcer les règles et la pratique dans ce domaine.</w:t>
            </w:r>
          </w:p>
        </w:tc>
      </w:tr>
    </w:tbl>
    <w:p w14:paraId="403C3980" w14:textId="77777777" w:rsidR="00834767" w:rsidRPr="00BE383A" w:rsidRDefault="00834767" w:rsidP="001545ED"/>
    <w:p w14:paraId="6176B818" w14:textId="77777777" w:rsidR="00834767" w:rsidRPr="00BE383A" w:rsidRDefault="00326F97" w:rsidP="0000157D">
      <w:pPr>
        <w:pStyle w:val="section-title"/>
      </w:pPr>
      <w:r w:rsidRPr="00BE383A">
        <w:lastRenderedPageBreak/>
        <w:t>Sources et autre documentation</w:t>
      </w:r>
    </w:p>
    <w:p w14:paraId="0214BA9B" w14:textId="7CD30BF7" w:rsidR="00944B3E" w:rsidRPr="00944B3E" w:rsidRDefault="00944B3E" w:rsidP="00944B3E">
      <w:pPr>
        <w:keepNext/>
        <w:numPr>
          <w:ilvl w:val="0"/>
          <w:numId w:val="7"/>
        </w:numPr>
        <w:spacing w:line="240" w:lineRule="auto"/>
        <w:ind w:left="562" w:hanging="562"/>
        <w:rPr>
          <w:sz w:val="20"/>
          <w:szCs w:val="20"/>
        </w:rPr>
      </w:pPr>
      <w:r w:rsidRPr="00BE383A">
        <w:rPr>
          <w:sz w:val="20"/>
        </w:rPr>
        <w:t xml:space="preserve">Centre d'information des Nations Unies pour les droits de l'homme, </w:t>
      </w:r>
      <w:hyperlink r:id="rId10">
        <w:r w:rsidRPr="00BE383A">
          <w:rPr>
            <w:i/>
            <w:color w:val="0563C1"/>
            <w:sz w:val="20"/>
            <w:u w:val="single"/>
          </w:rPr>
          <w:t xml:space="preserve">Human </w:t>
        </w:r>
        <w:proofErr w:type="spellStart"/>
        <w:r w:rsidRPr="00BE383A">
          <w:rPr>
            <w:i/>
            <w:color w:val="0563C1"/>
            <w:sz w:val="20"/>
            <w:u w:val="single"/>
          </w:rPr>
          <w:t>Rights</w:t>
        </w:r>
        <w:proofErr w:type="spellEnd"/>
        <w:r w:rsidRPr="00BE383A">
          <w:rPr>
            <w:i/>
            <w:color w:val="0563C1"/>
            <w:sz w:val="20"/>
            <w:u w:val="single"/>
          </w:rPr>
          <w:t xml:space="preserve"> and Elections:</w:t>
        </w:r>
      </w:hyperlink>
      <w:hyperlink r:id="rId11">
        <w:r w:rsidRPr="00BE383A">
          <w:rPr>
            <w:i/>
            <w:color w:val="0563C1"/>
            <w:sz w:val="20"/>
            <w:u w:val="single"/>
          </w:rPr>
          <w:t xml:space="preserve"> A </w:t>
        </w:r>
        <w:proofErr w:type="spellStart"/>
        <w:r w:rsidRPr="00BE383A">
          <w:rPr>
            <w:i/>
            <w:color w:val="0563C1"/>
            <w:sz w:val="20"/>
            <w:u w:val="single"/>
          </w:rPr>
          <w:t>Handbook</w:t>
        </w:r>
        <w:proofErr w:type="spellEnd"/>
        <w:r w:rsidRPr="00BE383A">
          <w:rPr>
            <w:i/>
            <w:color w:val="0563C1"/>
            <w:sz w:val="20"/>
            <w:u w:val="single"/>
          </w:rPr>
          <w:t xml:space="preserve"> on the Legal, </w:t>
        </w:r>
        <w:proofErr w:type="spellStart"/>
        <w:r w:rsidRPr="00BE383A">
          <w:rPr>
            <w:i/>
            <w:color w:val="0563C1"/>
            <w:sz w:val="20"/>
            <w:u w:val="single"/>
          </w:rPr>
          <w:t>Technical</w:t>
        </w:r>
        <w:proofErr w:type="spellEnd"/>
        <w:r w:rsidRPr="00BE383A">
          <w:rPr>
            <w:i/>
            <w:color w:val="0563C1"/>
            <w:sz w:val="20"/>
            <w:u w:val="single"/>
          </w:rPr>
          <w:t xml:space="preserve"> and Human </w:t>
        </w:r>
        <w:proofErr w:type="spellStart"/>
        <w:r w:rsidRPr="00BE383A">
          <w:rPr>
            <w:i/>
            <w:color w:val="0563C1"/>
            <w:sz w:val="20"/>
            <w:u w:val="single"/>
          </w:rPr>
          <w:t>Rights</w:t>
        </w:r>
        <w:proofErr w:type="spellEnd"/>
        <w:r w:rsidRPr="00BE383A">
          <w:rPr>
            <w:i/>
            <w:color w:val="0563C1"/>
            <w:sz w:val="20"/>
            <w:u w:val="single"/>
          </w:rPr>
          <w:t xml:space="preserve"> Aspects of Elections</w:t>
        </w:r>
      </w:hyperlink>
      <w:r w:rsidRPr="00BE383A">
        <w:rPr>
          <w:sz w:val="20"/>
        </w:rPr>
        <w:t xml:space="preserve"> (1994).</w:t>
      </w:r>
    </w:p>
    <w:p w14:paraId="22814D55" w14:textId="32EB25C5" w:rsidR="00834767" w:rsidRPr="00BE383A" w:rsidRDefault="00326F97" w:rsidP="001545ED">
      <w:pPr>
        <w:keepNext/>
        <w:numPr>
          <w:ilvl w:val="0"/>
          <w:numId w:val="7"/>
        </w:numPr>
        <w:spacing w:line="240" w:lineRule="auto"/>
        <w:ind w:left="562" w:hanging="562"/>
        <w:rPr>
          <w:sz w:val="20"/>
          <w:szCs w:val="20"/>
        </w:rPr>
      </w:pPr>
      <w:r w:rsidRPr="00BE383A">
        <w:rPr>
          <w:sz w:val="20"/>
        </w:rPr>
        <w:t xml:space="preserve">Commission européenne pour la démocratie par le droit (Commission de Venise), </w:t>
      </w:r>
      <w:hyperlink r:id="rId12">
        <w:r w:rsidRPr="00BE383A">
          <w:rPr>
            <w:i/>
            <w:color w:val="0563C1"/>
            <w:sz w:val="20"/>
            <w:u w:val="single"/>
          </w:rPr>
          <w:t>Code de bonne conduite en matière électorale :</w:t>
        </w:r>
      </w:hyperlink>
      <w:hyperlink r:id="rId13">
        <w:r w:rsidRPr="00BE383A">
          <w:rPr>
            <w:i/>
            <w:color w:val="0563C1"/>
            <w:sz w:val="20"/>
            <w:u w:val="single"/>
          </w:rPr>
          <w:t xml:space="preserve"> Lignes directrices et rapport explicatif</w:t>
        </w:r>
      </w:hyperlink>
      <w:r w:rsidRPr="00BE383A">
        <w:rPr>
          <w:sz w:val="20"/>
        </w:rPr>
        <w:t xml:space="preserve"> (2002).</w:t>
      </w:r>
    </w:p>
    <w:p w14:paraId="55807CD6" w14:textId="6B370C6A" w:rsidR="00834767" w:rsidRPr="00BE383A" w:rsidRDefault="00326F97" w:rsidP="001545ED">
      <w:pPr>
        <w:keepNext/>
        <w:numPr>
          <w:ilvl w:val="0"/>
          <w:numId w:val="7"/>
        </w:numPr>
        <w:spacing w:line="240" w:lineRule="auto"/>
        <w:ind w:left="562" w:hanging="562"/>
        <w:rPr>
          <w:sz w:val="20"/>
          <w:szCs w:val="20"/>
        </w:rPr>
      </w:pPr>
      <w:r w:rsidRPr="00BE383A">
        <w:rPr>
          <w:sz w:val="20"/>
        </w:rPr>
        <w:t>Goodwin-Gill</w:t>
      </w:r>
      <w:r w:rsidR="009A4F60">
        <w:rPr>
          <w:sz w:val="20"/>
        </w:rPr>
        <w:t xml:space="preserve"> </w:t>
      </w:r>
      <w:r w:rsidR="009A4F60" w:rsidRPr="00BE383A">
        <w:rPr>
          <w:sz w:val="20"/>
        </w:rPr>
        <w:t>Guy S.</w:t>
      </w:r>
      <w:r w:rsidRPr="00BE383A">
        <w:rPr>
          <w:sz w:val="20"/>
        </w:rPr>
        <w:t xml:space="preserve">, </w:t>
      </w:r>
      <w:hyperlink r:id="rId14">
        <w:r w:rsidR="00BE383A" w:rsidRPr="00BE383A">
          <w:rPr>
            <w:i/>
            <w:color w:val="0563C1"/>
            <w:sz w:val="20"/>
            <w:u w:val="single"/>
          </w:rPr>
          <w:t>Élections</w:t>
        </w:r>
        <w:r w:rsidRPr="00BE383A">
          <w:rPr>
            <w:i/>
            <w:color w:val="0563C1"/>
            <w:sz w:val="20"/>
            <w:u w:val="single"/>
          </w:rPr>
          <w:t xml:space="preserve"> libres et régulières :</w:t>
        </w:r>
      </w:hyperlink>
      <w:hyperlink r:id="rId15">
        <w:r w:rsidRPr="00BE383A">
          <w:rPr>
            <w:i/>
            <w:color w:val="0563C1"/>
            <w:sz w:val="20"/>
            <w:u w:val="single"/>
          </w:rPr>
          <w:t xml:space="preserve"> Nouvelle édition augmentée</w:t>
        </w:r>
      </w:hyperlink>
      <w:r w:rsidRPr="00BE383A">
        <w:rPr>
          <w:sz w:val="20"/>
        </w:rPr>
        <w:t xml:space="preserve"> (2006).</w:t>
      </w:r>
    </w:p>
    <w:p w14:paraId="3D41F81B" w14:textId="77777777" w:rsidR="00834767" w:rsidRPr="00BE383A" w:rsidRDefault="00326F97" w:rsidP="00F13A5D">
      <w:pPr>
        <w:keepNext/>
        <w:numPr>
          <w:ilvl w:val="0"/>
          <w:numId w:val="7"/>
        </w:numPr>
        <w:spacing w:line="240" w:lineRule="auto"/>
        <w:ind w:left="562" w:hanging="562"/>
        <w:rPr>
          <w:sz w:val="20"/>
          <w:szCs w:val="20"/>
        </w:rPr>
      </w:pPr>
      <w:r w:rsidRPr="00BE383A">
        <w:rPr>
          <w:sz w:val="20"/>
        </w:rPr>
        <w:t xml:space="preserve">Institut international pour la démocratie et l'assistance électorale (International IDEA), </w:t>
      </w:r>
      <w:hyperlink r:id="rId16">
        <w:r w:rsidRPr="00BE383A">
          <w:rPr>
            <w:i/>
            <w:color w:val="1155CC"/>
            <w:sz w:val="20"/>
            <w:u w:val="single"/>
          </w:rPr>
          <w:t xml:space="preserve">International Electoral Standards: Guidelines for </w:t>
        </w:r>
        <w:proofErr w:type="spellStart"/>
        <w:r w:rsidRPr="00BE383A">
          <w:rPr>
            <w:i/>
            <w:color w:val="1155CC"/>
            <w:sz w:val="20"/>
            <w:u w:val="single"/>
          </w:rPr>
          <w:t>reviewing</w:t>
        </w:r>
        <w:proofErr w:type="spellEnd"/>
        <w:r w:rsidRPr="00BE383A">
          <w:rPr>
            <w:i/>
            <w:color w:val="1155CC"/>
            <w:sz w:val="20"/>
            <w:u w:val="single"/>
          </w:rPr>
          <w:t xml:space="preserve"> the </w:t>
        </w:r>
        <w:proofErr w:type="spellStart"/>
        <w:r w:rsidRPr="00BE383A">
          <w:rPr>
            <w:i/>
            <w:color w:val="1155CC"/>
            <w:sz w:val="20"/>
            <w:u w:val="single"/>
          </w:rPr>
          <w:t>legal</w:t>
        </w:r>
        <w:proofErr w:type="spellEnd"/>
        <w:r w:rsidRPr="00BE383A">
          <w:rPr>
            <w:i/>
            <w:color w:val="1155CC"/>
            <w:sz w:val="20"/>
            <w:u w:val="single"/>
          </w:rPr>
          <w:t xml:space="preserve"> </w:t>
        </w:r>
        <w:proofErr w:type="spellStart"/>
        <w:r w:rsidRPr="00BE383A">
          <w:rPr>
            <w:i/>
            <w:color w:val="1155CC"/>
            <w:sz w:val="20"/>
            <w:u w:val="single"/>
          </w:rPr>
          <w:t>framework</w:t>
        </w:r>
        <w:proofErr w:type="spellEnd"/>
        <w:r w:rsidRPr="00BE383A">
          <w:rPr>
            <w:i/>
            <w:color w:val="1155CC"/>
            <w:sz w:val="20"/>
            <w:u w:val="single"/>
          </w:rPr>
          <w:t xml:space="preserve"> of </w:t>
        </w:r>
        <w:proofErr w:type="spellStart"/>
        <w:r w:rsidRPr="00BE383A">
          <w:rPr>
            <w:i/>
            <w:color w:val="1155CC"/>
            <w:sz w:val="20"/>
            <w:u w:val="single"/>
          </w:rPr>
          <w:t>elections</w:t>
        </w:r>
        <w:proofErr w:type="spellEnd"/>
      </w:hyperlink>
      <w:r w:rsidRPr="00BE383A">
        <w:rPr>
          <w:sz w:val="20"/>
        </w:rPr>
        <w:t xml:space="preserve"> (2002).</w:t>
      </w:r>
    </w:p>
    <w:p w14:paraId="26D7FFE6" w14:textId="77777777" w:rsidR="00834767" w:rsidRPr="00326F97" w:rsidRDefault="00326F97" w:rsidP="0012295F">
      <w:pPr>
        <w:keepNext/>
        <w:numPr>
          <w:ilvl w:val="0"/>
          <w:numId w:val="7"/>
        </w:numPr>
        <w:spacing w:line="240" w:lineRule="auto"/>
        <w:ind w:left="562" w:hanging="562"/>
        <w:rPr>
          <w:sz w:val="20"/>
          <w:szCs w:val="20"/>
          <w:lang w:val="en-US"/>
        </w:rPr>
      </w:pPr>
      <w:r w:rsidRPr="00326F97">
        <w:rPr>
          <w:sz w:val="20"/>
          <w:lang w:val="en-US"/>
        </w:rPr>
        <w:t xml:space="preserve">International IDEA, </w:t>
      </w:r>
      <w:hyperlink r:id="rId17">
        <w:r w:rsidRPr="00326F97">
          <w:rPr>
            <w:i/>
            <w:color w:val="0563C1"/>
            <w:sz w:val="20"/>
            <w:u w:val="single"/>
            <w:lang w:val="en-US"/>
          </w:rPr>
          <w:t>Voting from Abroad:</w:t>
        </w:r>
      </w:hyperlink>
      <w:hyperlink r:id="rId18">
        <w:r w:rsidRPr="00326F97">
          <w:rPr>
            <w:i/>
            <w:color w:val="0563C1"/>
            <w:sz w:val="20"/>
            <w:u w:val="single"/>
            <w:lang w:val="en-US"/>
          </w:rPr>
          <w:t xml:space="preserve"> The International IDEA Handbook</w:t>
        </w:r>
      </w:hyperlink>
      <w:r w:rsidRPr="00326F97">
        <w:rPr>
          <w:sz w:val="20"/>
          <w:lang w:val="en-US"/>
        </w:rPr>
        <w:t xml:space="preserve"> (2007).</w:t>
      </w:r>
    </w:p>
    <w:p w14:paraId="4780D719" w14:textId="77777777" w:rsidR="00834767" w:rsidRPr="00326F97" w:rsidRDefault="00326F97" w:rsidP="001545ED">
      <w:pPr>
        <w:keepNext/>
        <w:numPr>
          <w:ilvl w:val="0"/>
          <w:numId w:val="7"/>
        </w:numPr>
        <w:spacing w:line="240" w:lineRule="auto"/>
        <w:ind w:left="562" w:hanging="562"/>
        <w:rPr>
          <w:sz w:val="20"/>
          <w:szCs w:val="20"/>
          <w:lang w:val="en-US"/>
        </w:rPr>
      </w:pPr>
      <w:r w:rsidRPr="00326F97">
        <w:rPr>
          <w:sz w:val="20"/>
          <w:lang w:val="en-US"/>
        </w:rPr>
        <w:t xml:space="preserve">International IDEA, </w:t>
      </w:r>
      <w:hyperlink r:id="rId19">
        <w:r w:rsidRPr="00326F97">
          <w:rPr>
            <w:i/>
            <w:color w:val="0563C1"/>
            <w:sz w:val="20"/>
            <w:u w:val="single"/>
            <w:lang w:val="en-US"/>
          </w:rPr>
          <w:t>Electoral Justice:</w:t>
        </w:r>
      </w:hyperlink>
      <w:hyperlink r:id="rId20">
        <w:r w:rsidRPr="00326F97">
          <w:rPr>
            <w:i/>
            <w:color w:val="0563C1"/>
            <w:sz w:val="20"/>
            <w:u w:val="single"/>
            <w:lang w:val="en-US"/>
          </w:rPr>
          <w:t xml:space="preserve"> The International IDEA Handbook</w:t>
        </w:r>
      </w:hyperlink>
      <w:r w:rsidRPr="00326F97">
        <w:rPr>
          <w:sz w:val="20"/>
          <w:lang w:val="en-US"/>
        </w:rPr>
        <w:t xml:space="preserve"> (2010).</w:t>
      </w:r>
    </w:p>
    <w:p w14:paraId="34C8AAEE" w14:textId="77777777" w:rsidR="00834767" w:rsidRPr="00326F97" w:rsidRDefault="00326F97" w:rsidP="001545ED">
      <w:pPr>
        <w:keepNext/>
        <w:numPr>
          <w:ilvl w:val="0"/>
          <w:numId w:val="7"/>
        </w:numPr>
        <w:spacing w:line="240" w:lineRule="auto"/>
        <w:ind w:left="562" w:hanging="562"/>
        <w:rPr>
          <w:sz w:val="20"/>
          <w:szCs w:val="20"/>
          <w:lang w:val="en-US"/>
        </w:rPr>
      </w:pPr>
      <w:r w:rsidRPr="00326F97">
        <w:rPr>
          <w:sz w:val="20"/>
          <w:lang w:val="en-US"/>
        </w:rPr>
        <w:t xml:space="preserve">International IDEA, </w:t>
      </w:r>
      <w:hyperlink r:id="rId21">
        <w:r w:rsidRPr="00326F97">
          <w:rPr>
            <w:i/>
            <w:color w:val="0563C1"/>
            <w:sz w:val="20"/>
            <w:u w:val="single"/>
            <w:lang w:val="en-US"/>
          </w:rPr>
          <w:t>Electoral Management Design:</w:t>
        </w:r>
      </w:hyperlink>
      <w:hyperlink r:id="rId22">
        <w:r w:rsidRPr="00326F97">
          <w:rPr>
            <w:i/>
            <w:color w:val="0563C1"/>
            <w:sz w:val="20"/>
            <w:u w:val="single"/>
            <w:lang w:val="en-US"/>
          </w:rPr>
          <w:t xml:space="preserve"> Revised Edition</w:t>
        </w:r>
      </w:hyperlink>
      <w:r w:rsidRPr="00326F97">
        <w:rPr>
          <w:sz w:val="20"/>
          <w:lang w:val="en-US"/>
        </w:rPr>
        <w:t xml:space="preserve"> (2014).</w:t>
      </w:r>
    </w:p>
    <w:p w14:paraId="115245EE" w14:textId="77777777" w:rsidR="00834767" w:rsidRPr="00326F97" w:rsidRDefault="00326F97" w:rsidP="001545ED">
      <w:pPr>
        <w:keepNext/>
        <w:numPr>
          <w:ilvl w:val="0"/>
          <w:numId w:val="7"/>
        </w:numPr>
        <w:spacing w:line="240" w:lineRule="auto"/>
        <w:ind w:left="562" w:hanging="562"/>
        <w:rPr>
          <w:sz w:val="20"/>
          <w:szCs w:val="20"/>
          <w:lang w:val="en-US"/>
        </w:rPr>
      </w:pPr>
      <w:r w:rsidRPr="00326F97">
        <w:rPr>
          <w:sz w:val="20"/>
          <w:lang w:val="en-US"/>
        </w:rPr>
        <w:t xml:space="preserve">International IDEA, </w:t>
      </w:r>
      <w:hyperlink r:id="rId23">
        <w:r w:rsidRPr="00326F97">
          <w:rPr>
            <w:i/>
            <w:color w:val="0563C1"/>
            <w:sz w:val="20"/>
            <w:u w:val="single"/>
            <w:lang w:val="en-US"/>
          </w:rPr>
          <w:t>International Obligations for Elections:</w:t>
        </w:r>
      </w:hyperlink>
      <w:hyperlink r:id="rId24">
        <w:r w:rsidRPr="00326F97">
          <w:rPr>
            <w:i/>
            <w:color w:val="0563C1"/>
            <w:sz w:val="20"/>
            <w:u w:val="single"/>
            <w:lang w:val="en-US"/>
          </w:rPr>
          <w:t xml:space="preserve"> Guidelines for Legal Frameworks</w:t>
        </w:r>
      </w:hyperlink>
      <w:r w:rsidRPr="00326F97">
        <w:rPr>
          <w:sz w:val="20"/>
          <w:lang w:val="en-US"/>
        </w:rPr>
        <w:t xml:space="preserve"> (2014).</w:t>
      </w:r>
    </w:p>
    <w:p w14:paraId="1C516A4B" w14:textId="77777777" w:rsidR="00834767" w:rsidRPr="00944B3E" w:rsidRDefault="00326F97" w:rsidP="001545ED">
      <w:pPr>
        <w:keepNext/>
        <w:numPr>
          <w:ilvl w:val="0"/>
          <w:numId w:val="7"/>
        </w:numPr>
        <w:spacing w:line="240" w:lineRule="auto"/>
        <w:ind w:left="562" w:hanging="562"/>
        <w:rPr>
          <w:sz w:val="20"/>
          <w:szCs w:val="20"/>
        </w:rPr>
      </w:pPr>
      <w:r w:rsidRPr="00BE383A">
        <w:rPr>
          <w:sz w:val="20"/>
        </w:rPr>
        <w:t xml:space="preserve">International IDEA, Union interparlementaire (UIP) et Université de Stockholm, </w:t>
      </w:r>
      <w:hyperlink r:id="rId25">
        <w:r w:rsidRPr="00BE383A">
          <w:rPr>
            <w:i/>
            <w:color w:val="0563C1"/>
            <w:sz w:val="20"/>
            <w:u w:val="single"/>
          </w:rPr>
          <w:t xml:space="preserve">Atlas of Electoral </w:t>
        </w:r>
        <w:proofErr w:type="spellStart"/>
        <w:r w:rsidRPr="00BE383A">
          <w:rPr>
            <w:i/>
            <w:color w:val="0563C1"/>
            <w:sz w:val="20"/>
            <w:u w:val="single"/>
          </w:rPr>
          <w:t>Gender</w:t>
        </w:r>
        <w:proofErr w:type="spellEnd"/>
        <w:r w:rsidRPr="00BE383A">
          <w:rPr>
            <w:i/>
            <w:color w:val="0563C1"/>
            <w:sz w:val="20"/>
            <w:u w:val="single"/>
          </w:rPr>
          <w:t xml:space="preserve"> Quotas</w:t>
        </w:r>
      </w:hyperlink>
      <w:r w:rsidRPr="00BE383A">
        <w:rPr>
          <w:sz w:val="20"/>
        </w:rPr>
        <w:t xml:space="preserve"> (2013).</w:t>
      </w:r>
    </w:p>
    <w:p w14:paraId="5E1CA042" w14:textId="322B59A2" w:rsidR="00944B3E" w:rsidRPr="00944B3E" w:rsidRDefault="00944B3E" w:rsidP="00944B3E">
      <w:pPr>
        <w:keepNext/>
        <w:numPr>
          <w:ilvl w:val="0"/>
          <w:numId w:val="7"/>
        </w:numPr>
        <w:spacing w:line="240" w:lineRule="auto"/>
        <w:ind w:left="562" w:hanging="562"/>
        <w:rPr>
          <w:sz w:val="20"/>
          <w:szCs w:val="20"/>
        </w:rPr>
      </w:pPr>
      <w:r w:rsidRPr="00BE383A">
        <w:rPr>
          <w:sz w:val="20"/>
        </w:rPr>
        <w:t xml:space="preserve">Organisation pour la sécurité et la coopération en Europe (OSCE), </w:t>
      </w:r>
      <w:hyperlink r:id="rId26">
        <w:r w:rsidRPr="00BE383A">
          <w:rPr>
            <w:i/>
            <w:color w:val="0563C1"/>
            <w:sz w:val="20"/>
            <w:u w:val="single"/>
          </w:rPr>
          <w:t xml:space="preserve">International Standards and </w:t>
        </w:r>
        <w:proofErr w:type="spellStart"/>
        <w:r w:rsidRPr="00BE383A">
          <w:rPr>
            <w:i/>
            <w:color w:val="0563C1"/>
            <w:sz w:val="20"/>
            <w:u w:val="single"/>
          </w:rPr>
          <w:t>Commitments</w:t>
        </w:r>
        <w:proofErr w:type="spellEnd"/>
        <w:r w:rsidRPr="00BE383A">
          <w:rPr>
            <w:i/>
            <w:color w:val="0563C1"/>
            <w:sz w:val="20"/>
            <w:u w:val="single"/>
          </w:rPr>
          <w:t xml:space="preserve"> on the Right to Democratic Elections:</w:t>
        </w:r>
      </w:hyperlink>
      <w:hyperlink r:id="rId27">
        <w:r w:rsidRPr="00BE383A">
          <w:rPr>
            <w:i/>
            <w:color w:val="0563C1"/>
            <w:sz w:val="20"/>
            <w:u w:val="single"/>
          </w:rPr>
          <w:t xml:space="preserve"> A </w:t>
        </w:r>
        <w:proofErr w:type="spellStart"/>
        <w:r w:rsidRPr="00BE383A">
          <w:rPr>
            <w:i/>
            <w:color w:val="0563C1"/>
            <w:sz w:val="20"/>
            <w:u w:val="single"/>
          </w:rPr>
          <w:t>Practical</w:t>
        </w:r>
        <w:proofErr w:type="spellEnd"/>
        <w:r w:rsidRPr="00BE383A">
          <w:rPr>
            <w:i/>
            <w:color w:val="0563C1"/>
            <w:sz w:val="20"/>
            <w:u w:val="single"/>
          </w:rPr>
          <w:t xml:space="preserve"> Guide to Democratic Elections:</w:t>
        </w:r>
      </w:hyperlink>
      <w:hyperlink r:id="rId28">
        <w:r w:rsidRPr="00BE383A">
          <w:rPr>
            <w:i/>
            <w:color w:val="0563C1"/>
            <w:sz w:val="20"/>
            <w:u w:val="single"/>
          </w:rPr>
          <w:t xml:space="preserve"> Best Practice</w:t>
        </w:r>
      </w:hyperlink>
      <w:r w:rsidRPr="00BE383A">
        <w:rPr>
          <w:sz w:val="20"/>
        </w:rPr>
        <w:t xml:space="preserve"> (2002).</w:t>
      </w:r>
    </w:p>
    <w:p w14:paraId="7A6786E0" w14:textId="77777777" w:rsidR="00834767" w:rsidRPr="00BE383A" w:rsidRDefault="00326F97" w:rsidP="001545ED">
      <w:pPr>
        <w:keepNext/>
        <w:numPr>
          <w:ilvl w:val="0"/>
          <w:numId w:val="7"/>
        </w:numPr>
        <w:spacing w:line="240" w:lineRule="auto"/>
        <w:ind w:left="562" w:hanging="562"/>
        <w:rPr>
          <w:sz w:val="20"/>
          <w:szCs w:val="20"/>
        </w:rPr>
      </w:pPr>
      <w:r w:rsidRPr="00BE383A">
        <w:rPr>
          <w:sz w:val="20"/>
        </w:rPr>
        <w:t xml:space="preserve">UIP, </w:t>
      </w:r>
      <w:hyperlink r:id="rId29">
        <w:r w:rsidRPr="00BE383A">
          <w:rPr>
            <w:i/>
            <w:iCs/>
            <w:color w:val="0563C1"/>
            <w:sz w:val="20"/>
            <w:u w:val="single"/>
          </w:rPr>
          <w:t>Déclaration sur les critères pour des élections libres et régulières</w:t>
        </w:r>
      </w:hyperlink>
      <w:r w:rsidRPr="00BE383A">
        <w:rPr>
          <w:sz w:val="20"/>
        </w:rPr>
        <w:t>, adoptée par le Conseil interparlementaire lors de sa 154</w:t>
      </w:r>
      <w:r w:rsidRPr="00BE383A">
        <w:rPr>
          <w:sz w:val="20"/>
          <w:vertAlign w:val="superscript"/>
        </w:rPr>
        <w:t>e</w:t>
      </w:r>
      <w:r w:rsidRPr="00BE383A">
        <w:rPr>
          <w:sz w:val="20"/>
        </w:rPr>
        <w:t xml:space="preserve"> session (1994).</w:t>
      </w:r>
    </w:p>
    <w:p w14:paraId="3D8127B4" w14:textId="77777777" w:rsidR="00834767" w:rsidRPr="00BE383A" w:rsidRDefault="00834767" w:rsidP="001545ED">
      <w:pPr>
        <w:keepNext/>
        <w:spacing w:line="240" w:lineRule="auto"/>
        <w:rPr>
          <w:sz w:val="20"/>
          <w:szCs w:val="20"/>
        </w:rPr>
      </w:pPr>
    </w:p>
    <w:p w14:paraId="1EDCFEC2" w14:textId="77777777" w:rsidR="00834767" w:rsidRPr="00BE383A" w:rsidRDefault="00834767" w:rsidP="001545ED">
      <w:pPr>
        <w:keepNext/>
        <w:spacing w:line="240" w:lineRule="auto"/>
        <w:rPr>
          <w:sz w:val="20"/>
          <w:szCs w:val="20"/>
        </w:rPr>
      </w:pPr>
    </w:p>
    <w:p w14:paraId="1F260E34" w14:textId="77777777" w:rsidR="00834767" w:rsidRPr="00BE383A" w:rsidRDefault="00834767" w:rsidP="001545ED">
      <w:pPr>
        <w:spacing w:line="240" w:lineRule="auto"/>
        <w:rPr>
          <w:sz w:val="20"/>
          <w:szCs w:val="20"/>
        </w:rPr>
      </w:pPr>
    </w:p>
    <w:p w14:paraId="11FB9D70" w14:textId="77777777" w:rsidR="00834767" w:rsidRPr="00BE383A" w:rsidRDefault="00326F97" w:rsidP="0000157D">
      <w:pPr>
        <w:pStyle w:val="Dimension"/>
        <w:rPr>
          <w:szCs w:val="24"/>
        </w:rPr>
      </w:pPr>
      <w:bookmarkStart w:id="6" w:name="_tyjcwt"/>
      <w:bookmarkEnd w:id="6"/>
      <w:r w:rsidRPr="00BE383A">
        <w:lastRenderedPageBreak/>
        <w:t>Aspect 7.1.2 : Droits et obligations concernant les candidatures, les partis et les campagnes électorales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545ED" w:rsidRPr="00BE383A" w14:paraId="3435CCD5" w14:textId="77777777" w:rsidTr="00BA3230">
        <w:tc>
          <w:tcPr>
            <w:tcW w:w="9350" w:type="dxa"/>
            <w:shd w:val="clear" w:color="auto" w:fill="EEEEEE"/>
          </w:tcPr>
          <w:p w14:paraId="7CD37C2B" w14:textId="77777777" w:rsidR="00834767" w:rsidRPr="00BE383A" w:rsidRDefault="00326F97" w:rsidP="00BA3230">
            <w:pPr>
              <w:spacing w:line="240" w:lineRule="auto"/>
              <w:rPr>
                <w:sz w:val="20"/>
                <w:szCs w:val="20"/>
              </w:rPr>
            </w:pPr>
            <w:r w:rsidRPr="00BE383A">
              <w:rPr>
                <w:sz w:val="20"/>
              </w:rPr>
              <w:t>Cet aspect s'applique aux éléments suivants :</w:t>
            </w:r>
          </w:p>
          <w:p w14:paraId="584F7D73" w14:textId="77777777" w:rsidR="00834767" w:rsidRPr="00BE383A" w:rsidRDefault="00326F97" w:rsidP="00BA3230">
            <w:pPr>
              <w:pStyle w:val="Paragraphedeliste"/>
              <w:numPr>
                <w:ilvl w:val="0"/>
                <w:numId w:val="8"/>
              </w:numPr>
              <w:spacing w:line="240" w:lineRule="auto"/>
              <w:rPr>
                <w:rFonts w:eastAsia="Calibri" w:cs="Calibri"/>
                <w:sz w:val="20"/>
                <w:szCs w:val="20"/>
              </w:rPr>
            </w:pPr>
            <w:r w:rsidRPr="00BE383A">
              <w:rPr>
                <w:sz w:val="20"/>
              </w:rPr>
              <w:t>Indicateur 7.1 : Intégrité des élections</w:t>
            </w:r>
          </w:p>
          <w:p w14:paraId="7C8C7A1E" w14:textId="77777777" w:rsidR="00834767" w:rsidRPr="00BE383A" w:rsidRDefault="00326F97" w:rsidP="00BA3230">
            <w:pPr>
              <w:pStyle w:val="Paragraphedeliste"/>
              <w:numPr>
                <w:ilvl w:val="0"/>
                <w:numId w:val="8"/>
              </w:numPr>
              <w:spacing w:line="240" w:lineRule="auto"/>
              <w:rPr>
                <w:rFonts w:eastAsia="Calibri" w:cs="Calibri"/>
                <w:sz w:val="24"/>
                <w:szCs w:val="20"/>
              </w:rPr>
            </w:pPr>
            <w:r w:rsidRPr="00BE383A">
              <w:rPr>
                <w:sz w:val="20"/>
              </w:rPr>
              <w:t>Cible 7 : Des parlements représentatifs</w:t>
            </w:r>
          </w:p>
        </w:tc>
      </w:tr>
    </w:tbl>
    <w:p w14:paraId="0EFFCBA4" w14:textId="77777777" w:rsidR="00834767" w:rsidRPr="00BE383A" w:rsidRDefault="00326F97" w:rsidP="0000157D">
      <w:pPr>
        <w:pStyle w:val="section-title"/>
      </w:pPr>
      <w:r w:rsidRPr="00BE383A">
        <w:t>À propos de l'aspect</w:t>
      </w:r>
    </w:p>
    <w:p w14:paraId="06341844" w14:textId="54F25B06" w:rsidR="00834767" w:rsidRPr="00BE383A" w:rsidRDefault="00326F97" w:rsidP="001545ED">
      <w:pPr>
        <w:spacing w:line="240" w:lineRule="auto"/>
        <w:rPr>
          <w:sz w:val="20"/>
          <w:szCs w:val="20"/>
        </w:rPr>
      </w:pPr>
      <w:r w:rsidRPr="00BE383A">
        <w:rPr>
          <w:sz w:val="20"/>
        </w:rPr>
        <w:t xml:space="preserve">Cet aspect porte sur le droit des citoyens à se présenter aux élections et à faire campagne </w:t>
      </w:r>
      <w:r w:rsidR="006476CA" w:rsidRPr="00BE383A">
        <w:rPr>
          <w:sz w:val="20"/>
        </w:rPr>
        <w:t xml:space="preserve">au même titre que n’importe quel </w:t>
      </w:r>
      <w:r w:rsidRPr="00BE383A">
        <w:rPr>
          <w:sz w:val="20"/>
        </w:rPr>
        <w:t>autre candidat. Sont en jeu la liberté de communiquer avec les électeurs et d'exprimer des opinions politiques, la liberté de circuler dans un pays pour faire campagne et celle d'accéder aux médias.</w:t>
      </w:r>
    </w:p>
    <w:p w14:paraId="17939956" w14:textId="77777777" w:rsidR="00834767" w:rsidRPr="00BE383A" w:rsidRDefault="00834767" w:rsidP="001545ED">
      <w:pPr>
        <w:spacing w:line="240" w:lineRule="auto"/>
        <w:rPr>
          <w:sz w:val="20"/>
          <w:szCs w:val="20"/>
        </w:rPr>
      </w:pPr>
    </w:p>
    <w:p w14:paraId="146E274D" w14:textId="1FD4EF91" w:rsidR="00834767" w:rsidRPr="00BE383A" w:rsidRDefault="00326F97" w:rsidP="001545ED">
      <w:pPr>
        <w:spacing w:line="240" w:lineRule="auto"/>
        <w:jc w:val="both"/>
        <w:rPr>
          <w:sz w:val="20"/>
          <w:szCs w:val="20"/>
        </w:rPr>
      </w:pPr>
      <w:r w:rsidRPr="00BE383A">
        <w:rPr>
          <w:sz w:val="20"/>
        </w:rPr>
        <w:t>Les pays devraient veiller à ce que les citoyens et les groupes de citoyens aient le droit de devenir membres d'un parti politique ou d'en créer un. Toute exception devrait être non discriminatoire, conforme aux obligations internationales et clairement définie par la loi. Un</w:t>
      </w:r>
      <w:r w:rsidR="00DF6762">
        <w:rPr>
          <w:sz w:val="20"/>
        </w:rPr>
        <w:t>e fois un</w:t>
      </w:r>
      <w:r w:rsidRPr="00BE383A">
        <w:rPr>
          <w:sz w:val="20"/>
        </w:rPr>
        <w:t xml:space="preserve"> parti politique officiellement enregistré, il d</w:t>
      </w:r>
      <w:r w:rsidR="006476CA" w:rsidRPr="00BE383A">
        <w:rPr>
          <w:sz w:val="20"/>
        </w:rPr>
        <w:t>evra</w:t>
      </w:r>
      <w:r w:rsidRPr="00BE383A">
        <w:rPr>
          <w:sz w:val="20"/>
        </w:rPr>
        <w:t>it avoir des chances égales de prendre part au processus électoral et d'accéder au scrutin.</w:t>
      </w:r>
    </w:p>
    <w:p w14:paraId="60E66B25" w14:textId="77777777" w:rsidR="00834767" w:rsidRPr="00BE383A" w:rsidRDefault="00834767" w:rsidP="001545ED">
      <w:pPr>
        <w:spacing w:line="240" w:lineRule="auto"/>
        <w:rPr>
          <w:sz w:val="20"/>
          <w:szCs w:val="20"/>
        </w:rPr>
      </w:pPr>
    </w:p>
    <w:p w14:paraId="02A950CC" w14:textId="42DB5443" w:rsidR="00834767" w:rsidRPr="00BE383A" w:rsidRDefault="00326F97" w:rsidP="001545ED">
      <w:pPr>
        <w:spacing w:line="240" w:lineRule="auto"/>
        <w:rPr>
          <w:sz w:val="20"/>
          <w:szCs w:val="20"/>
        </w:rPr>
      </w:pPr>
      <w:r w:rsidRPr="00BE383A">
        <w:rPr>
          <w:sz w:val="20"/>
        </w:rPr>
        <w:t>Le cadre juridique devrait garantir le droit de déposer un recours auprès d'un organe de gestion des élections ou d'un tribunal en cas de violation présumée des droits politiques et électoraux, que ces violations interviennent avant, pendant ou après le</w:t>
      </w:r>
      <w:r w:rsidR="006476CA" w:rsidRPr="00BE383A">
        <w:rPr>
          <w:sz w:val="20"/>
        </w:rPr>
        <w:t xml:space="preserve"> scrutin</w:t>
      </w:r>
      <w:r w:rsidRPr="00BE383A">
        <w:rPr>
          <w:sz w:val="20"/>
        </w:rPr>
        <w:t>. Le temps imparti pour introduire un recours devrait être court, mais pas au point de rendre l</w:t>
      </w:r>
      <w:r w:rsidR="006476CA" w:rsidRPr="00BE383A">
        <w:rPr>
          <w:sz w:val="20"/>
        </w:rPr>
        <w:t xml:space="preserve">e recours </w:t>
      </w:r>
      <w:r w:rsidRPr="00BE383A">
        <w:rPr>
          <w:sz w:val="20"/>
        </w:rPr>
        <w:t xml:space="preserve">impossible. Le temps imparti pour rendre une décision </w:t>
      </w:r>
      <w:r w:rsidR="006476CA" w:rsidRPr="00BE383A">
        <w:rPr>
          <w:sz w:val="20"/>
        </w:rPr>
        <w:t xml:space="preserve">en cas de </w:t>
      </w:r>
      <w:r w:rsidRPr="00BE383A">
        <w:rPr>
          <w:sz w:val="20"/>
        </w:rPr>
        <w:t>recours devait également être court pour permettre le rétablissement eff</w:t>
      </w:r>
      <w:r w:rsidR="006476CA" w:rsidRPr="00BE383A">
        <w:rPr>
          <w:sz w:val="20"/>
        </w:rPr>
        <w:t xml:space="preserve">ectif </w:t>
      </w:r>
      <w:r w:rsidRPr="00BE383A">
        <w:rPr>
          <w:sz w:val="20"/>
        </w:rPr>
        <w:t>des droits électoraux.</w:t>
      </w:r>
    </w:p>
    <w:p w14:paraId="348D5A3B" w14:textId="77777777" w:rsidR="00834767" w:rsidRPr="00BE383A" w:rsidRDefault="00326F97" w:rsidP="0000157D">
      <w:pPr>
        <w:pStyle w:val="section-title"/>
      </w:pPr>
      <w:r w:rsidRPr="00BE383A">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CellMar>
          <w:left w:w="115" w:type="dxa"/>
          <w:right w:w="115" w:type="dxa"/>
        </w:tblCellMar>
        <w:tblLook w:val="0400" w:firstRow="0" w:lastRow="0" w:firstColumn="0" w:lastColumn="0" w:noHBand="0" w:noVBand="1"/>
      </w:tblPr>
      <w:tblGrid>
        <w:gridCol w:w="9120"/>
      </w:tblGrid>
      <w:tr w:rsidR="00F30DB7" w:rsidRPr="00BE383A" w14:paraId="4F840893" w14:textId="77777777" w:rsidTr="00BA3230">
        <w:trPr>
          <w:trHeight w:val="308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DCB6526" w14:textId="77777777" w:rsidR="00834767" w:rsidRPr="00BE383A" w:rsidRDefault="00326F97" w:rsidP="00BA3230">
            <w:pPr>
              <w:spacing w:line="240" w:lineRule="auto"/>
              <w:rPr>
                <w:i/>
                <w:sz w:val="20"/>
                <w:szCs w:val="20"/>
              </w:rPr>
            </w:pPr>
            <w:r w:rsidRPr="00BE383A">
              <w:rPr>
                <w:i/>
                <w:sz w:val="20"/>
              </w:rPr>
              <w:t>Après une analyse comparative, les parlements pourraient par exemple viser les objectifs suivants en ce qui concerne les droits et obligations concernant les candidatures, les partis et les campagnes électorales :</w:t>
            </w:r>
          </w:p>
          <w:p w14:paraId="6EF439DE" w14:textId="77777777" w:rsidR="00834767" w:rsidRPr="00BE383A" w:rsidRDefault="00834767" w:rsidP="00BA3230">
            <w:pPr>
              <w:spacing w:line="240" w:lineRule="auto"/>
              <w:rPr>
                <w:sz w:val="20"/>
                <w:szCs w:val="20"/>
              </w:rPr>
            </w:pPr>
          </w:p>
          <w:p w14:paraId="2A5CFC66" w14:textId="77777777" w:rsidR="00834767" w:rsidRPr="00BE383A" w:rsidRDefault="00326F97" w:rsidP="00BA3230">
            <w:pPr>
              <w:spacing w:line="240" w:lineRule="auto"/>
              <w:rPr>
                <w:sz w:val="20"/>
              </w:rPr>
            </w:pPr>
            <w:r w:rsidRPr="00BE383A">
              <w:rPr>
                <w:sz w:val="20"/>
              </w:rPr>
              <w:t>Tout citoyen remplissant les conditions requises a le droit de se présenter aux élections au même titre que n'importe quel autre candidat.</w:t>
            </w:r>
          </w:p>
          <w:p w14:paraId="4C4BAD8B" w14:textId="77777777" w:rsidR="00834767" w:rsidRPr="00BE383A" w:rsidRDefault="00834767" w:rsidP="00BA3230">
            <w:pPr>
              <w:spacing w:line="240" w:lineRule="auto"/>
              <w:rPr>
                <w:sz w:val="20"/>
              </w:rPr>
            </w:pPr>
          </w:p>
          <w:p w14:paraId="0E4D9B32" w14:textId="3E3582E1" w:rsidR="00834767" w:rsidRPr="00BE383A" w:rsidRDefault="00326F97" w:rsidP="00BA3230">
            <w:pPr>
              <w:spacing w:line="240" w:lineRule="auto"/>
              <w:rPr>
                <w:sz w:val="20"/>
                <w:szCs w:val="20"/>
              </w:rPr>
            </w:pPr>
            <w:r w:rsidRPr="00BE383A">
              <w:rPr>
                <w:sz w:val="20"/>
              </w:rPr>
              <w:t xml:space="preserve">Les </w:t>
            </w:r>
            <w:r w:rsidR="006476CA" w:rsidRPr="00BE383A">
              <w:rPr>
                <w:sz w:val="20"/>
              </w:rPr>
              <w:t xml:space="preserve">citoyens </w:t>
            </w:r>
            <w:r w:rsidRPr="00BE383A">
              <w:rPr>
                <w:sz w:val="20"/>
              </w:rPr>
              <w:t xml:space="preserve">et les groupes </w:t>
            </w:r>
            <w:r w:rsidR="006476CA" w:rsidRPr="00BE383A">
              <w:rPr>
                <w:sz w:val="20"/>
              </w:rPr>
              <w:t xml:space="preserve">de citoyens </w:t>
            </w:r>
            <w:r w:rsidRPr="00BE383A">
              <w:rPr>
                <w:sz w:val="20"/>
              </w:rPr>
              <w:t>ont le droit de devenir membres d'un parti politique ou d'en créer un pour prendre part aux élections. Toute exception à ce droit est non discriminatoire, conforme aux obligations internationales et clairement définie par la loi.</w:t>
            </w:r>
          </w:p>
          <w:p w14:paraId="52477DA4" w14:textId="77777777" w:rsidR="00834767" w:rsidRPr="00BE383A" w:rsidRDefault="00834767" w:rsidP="00BA3230">
            <w:pPr>
              <w:spacing w:line="240" w:lineRule="auto"/>
              <w:rPr>
                <w:sz w:val="20"/>
                <w:szCs w:val="20"/>
              </w:rPr>
            </w:pPr>
          </w:p>
          <w:p w14:paraId="1BABEA6D" w14:textId="77777777" w:rsidR="00834767" w:rsidRPr="00BE383A" w:rsidRDefault="00326F97" w:rsidP="00BA3230">
            <w:pPr>
              <w:spacing w:line="240" w:lineRule="auto"/>
              <w:rPr>
                <w:sz w:val="20"/>
                <w:szCs w:val="20"/>
              </w:rPr>
            </w:pPr>
            <w:r w:rsidRPr="00BE383A">
              <w:rPr>
                <w:sz w:val="20"/>
              </w:rPr>
              <w:t xml:space="preserve">Le cadre juridique garantit que les candidats ont le droit et la possibilité d'exprimer librement leur opinion aux électeurs et de faire campagne au même titre que n'importe quel autre candidat et parti politique. </w:t>
            </w:r>
          </w:p>
          <w:p w14:paraId="2D4D1604" w14:textId="77777777" w:rsidR="00834767" w:rsidRPr="00BE383A" w:rsidRDefault="00834767" w:rsidP="00BA3230">
            <w:pPr>
              <w:spacing w:line="240" w:lineRule="auto"/>
              <w:rPr>
                <w:sz w:val="20"/>
                <w:szCs w:val="20"/>
              </w:rPr>
            </w:pPr>
          </w:p>
          <w:p w14:paraId="015256B2" w14:textId="77777777" w:rsidR="00834767" w:rsidRPr="00BE383A" w:rsidRDefault="00326F97" w:rsidP="00BA3230">
            <w:pPr>
              <w:spacing w:line="240" w:lineRule="auto"/>
              <w:rPr>
                <w:sz w:val="20"/>
                <w:szCs w:val="20"/>
              </w:rPr>
            </w:pPr>
            <w:r w:rsidRPr="00BE383A">
              <w:rPr>
                <w:sz w:val="20"/>
              </w:rPr>
              <w:t xml:space="preserve">Tout électeur, candidat et parti politique a le droit de déposer un recours auprès d'un organe compétent et indépendant en cas de violation présumée des droits politiques et électoraux. </w:t>
            </w:r>
          </w:p>
          <w:p w14:paraId="4ED4A9D4" w14:textId="77777777" w:rsidR="00834767" w:rsidRPr="00BE383A" w:rsidRDefault="00834767" w:rsidP="00BA3230">
            <w:pPr>
              <w:spacing w:line="240" w:lineRule="auto"/>
              <w:rPr>
                <w:sz w:val="20"/>
                <w:szCs w:val="20"/>
              </w:rPr>
            </w:pPr>
          </w:p>
        </w:tc>
      </w:tr>
    </w:tbl>
    <w:p w14:paraId="1749DD8D" w14:textId="77777777" w:rsidR="00834767" w:rsidRPr="00BE383A" w:rsidRDefault="00326F97" w:rsidP="0000157D">
      <w:pPr>
        <w:pStyle w:val="section-title"/>
      </w:pPr>
      <w:r w:rsidRPr="00BE383A">
        <w:t>Évaluation</w:t>
      </w:r>
    </w:p>
    <w:p w14:paraId="07C51E27" w14:textId="77777777" w:rsidR="00834767" w:rsidRPr="00BE383A" w:rsidRDefault="00326F97" w:rsidP="001545ED">
      <w:pPr>
        <w:spacing w:before="200" w:line="240" w:lineRule="auto"/>
        <w:rPr>
          <w:sz w:val="20"/>
          <w:szCs w:val="20"/>
        </w:rPr>
      </w:pPr>
      <w:r w:rsidRPr="00BE383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0226CED" w14:textId="77777777" w:rsidR="00834767" w:rsidRPr="00BE383A" w:rsidRDefault="00326F97" w:rsidP="001545ED">
      <w:pPr>
        <w:spacing w:before="200" w:line="240" w:lineRule="auto"/>
        <w:rPr>
          <w:sz w:val="20"/>
          <w:szCs w:val="20"/>
        </w:rPr>
      </w:pPr>
      <w:r w:rsidRPr="00BE383A">
        <w:rPr>
          <w:sz w:val="20"/>
        </w:rPr>
        <w:lastRenderedPageBreak/>
        <w:t>Exemples d'éléments permettant d'étayer l'évaluation :</w:t>
      </w:r>
    </w:p>
    <w:p w14:paraId="33B980C3" w14:textId="77777777" w:rsidR="00834767" w:rsidRPr="00BE383A" w:rsidRDefault="00834767" w:rsidP="001545ED">
      <w:pPr>
        <w:spacing w:line="240" w:lineRule="auto"/>
        <w:rPr>
          <w:sz w:val="20"/>
          <w:szCs w:val="20"/>
        </w:rPr>
      </w:pPr>
    </w:p>
    <w:p w14:paraId="6E8D894F" w14:textId="77777777" w:rsidR="00834767" w:rsidRPr="00BE383A" w:rsidRDefault="00326F97" w:rsidP="001545ED">
      <w:pPr>
        <w:numPr>
          <w:ilvl w:val="0"/>
          <w:numId w:val="3"/>
        </w:numPr>
        <w:tabs>
          <w:tab w:val="left" w:pos="1080"/>
        </w:tabs>
        <w:spacing w:line="240" w:lineRule="auto"/>
        <w:ind w:left="562" w:hanging="562"/>
        <w:rPr>
          <w:sz w:val="20"/>
          <w:szCs w:val="20"/>
        </w:rPr>
      </w:pPr>
      <w:r w:rsidRPr="00BE383A">
        <w:rPr>
          <w:sz w:val="20"/>
        </w:rPr>
        <w:t>Dispositions du cadre juridique établissant que tout citoyen a le droit de se présenter aux élections en tant que candidat individuel ou membre d'un parti politique</w:t>
      </w:r>
    </w:p>
    <w:p w14:paraId="46D99F0C" w14:textId="77777777" w:rsidR="00834767" w:rsidRPr="00BE383A" w:rsidRDefault="00326F97" w:rsidP="001545ED">
      <w:pPr>
        <w:numPr>
          <w:ilvl w:val="0"/>
          <w:numId w:val="3"/>
        </w:numPr>
        <w:tabs>
          <w:tab w:val="left" w:pos="1080"/>
        </w:tabs>
        <w:spacing w:line="240" w:lineRule="auto"/>
        <w:ind w:left="562" w:hanging="562"/>
        <w:rPr>
          <w:sz w:val="20"/>
          <w:szCs w:val="20"/>
        </w:rPr>
      </w:pPr>
      <w:r w:rsidRPr="00BE383A">
        <w:rPr>
          <w:sz w:val="20"/>
        </w:rPr>
        <w:t>Dispositions de la législation électorale fixant les critères de participation aux élections</w:t>
      </w:r>
    </w:p>
    <w:p w14:paraId="25B7793C" w14:textId="77777777" w:rsidR="00834767" w:rsidRPr="00BE383A" w:rsidRDefault="00326F97" w:rsidP="001545ED">
      <w:pPr>
        <w:numPr>
          <w:ilvl w:val="0"/>
          <w:numId w:val="3"/>
        </w:numPr>
        <w:tabs>
          <w:tab w:val="left" w:pos="1080"/>
        </w:tabs>
        <w:spacing w:line="240" w:lineRule="auto"/>
        <w:ind w:left="562" w:hanging="562"/>
        <w:rPr>
          <w:sz w:val="20"/>
          <w:szCs w:val="20"/>
        </w:rPr>
      </w:pPr>
      <w:r w:rsidRPr="00BE383A">
        <w:rPr>
          <w:sz w:val="20"/>
        </w:rPr>
        <w:t>Dispositions juridiques relatives au financement des partis politiques</w:t>
      </w:r>
    </w:p>
    <w:p w14:paraId="0AB2BF87" w14:textId="77777777" w:rsidR="00834767" w:rsidRPr="00BE383A" w:rsidRDefault="00326F97" w:rsidP="001545ED">
      <w:pPr>
        <w:numPr>
          <w:ilvl w:val="0"/>
          <w:numId w:val="3"/>
        </w:numPr>
        <w:tabs>
          <w:tab w:val="left" w:pos="1080"/>
        </w:tabs>
        <w:spacing w:line="240" w:lineRule="auto"/>
        <w:ind w:left="562" w:hanging="562"/>
        <w:rPr>
          <w:sz w:val="20"/>
          <w:szCs w:val="20"/>
        </w:rPr>
      </w:pPr>
      <w:r w:rsidRPr="00BE383A">
        <w:rPr>
          <w:sz w:val="20"/>
        </w:rPr>
        <w:t>Dispositions juridiques relatives au mécanisme de règlement des différends électoraux</w:t>
      </w:r>
    </w:p>
    <w:p w14:paraId="066A5186" w14:textId="77777777" w:rsidR="00834767" w:rsidRPr="00BE383A" w:rsidRDefault="00326F97" w:rsidP="001545ED">
      <w:pPr>
        <w:numPr>
          <w:ilvl w:val="0"/>
          <w:numId w:val="3"/>
        </w:numPr>
        <w:tabs>
          <w:tab w:val="left" w:pos="1080"/>
        </w:tabs>
        <w:spacing w:line="240" w:lineRule="auto"/>
        <w:ind w:left="562" w:hanging="562"/>
        <w:rPr>
          <w:sz w:val="20"/>
          <w:szCs w:val="20"/>
        </w:rPr>
      </w:pPr>
      <w:r w:rsidRPr="00552E23">
        <w:rPr>
          <w:sz w:val="20"/>
        </w:rPr>
        <w:t>Documents et</w:t>
      </w:r>
      <w:r w:rsidRPr="00BE383A">
        <w:rPr>
          <w:sz w:val="20"/>
        </w:rPr>
        <w:t xml:space="preserve"> couverture médiatique décrivant la situation sur le terrain</w:t>
      </w:r>
    </w:p>
    <w:p w14:paraId="37C62CFD" w14:textId="77777777" w:rsidR="00834767" w:rsidRPr="00BE383A" w:rsidRDefault="00834767" w:rsidP="001545ED">
      <w:pPr>
        <w:spacing w:line="240" w:lineRule="auto"/>
        <w:rPr>
          <w:sz w:val="20"/>
          <w:szCs w:val="20"/>
        </w:rPr>
      </w:pPr>
    </w:p>
    <w:p w14:paraId="48B8BF4D" w14:textId="77777777" w:rsidR="00834767" w:rsidRPr="00BE383A" w:rsidRDefault="00326F97" w:rsidP="001545ED">
      <w:pPr>
        <w:spacing w:line="240" w:lineRule="auto"/>
        <w:rPr>
          <w:sz w:val="20"/>
          <w:szCs w:val="20"/>
        </w:rPr>
      </w:pPr>
      <w:r w:rsidRPr="00BE383A">
        <w:rPr>
          <w:sz w:val="20"/>
        </w:rPr>
        <w:t>Le cas échéant, merci de bien vouloir communiquer des observations ou exemples supplémentaires pour étayer l'évaluation.</w:t>
      </w:r>
    </w:p>
    <w:p w14:paraId="728FBB32" w14:textId="77777777" w:rsidR="00834767" w:rsidRPr="00BE383A" w:rsidRDefault="00834767" w:rsidP="001545ED">
      <w:pPr>
        <w:spacing w:line="240" w:lineRule="auto"/>
        <w:rPr>
          <w:sz w:val="20"/>
          <w:szCs w:val="20"/>
        </w:rPr>
      </w:pPr>
    </w:p>
    <w:p w14:paraId="0F0D5F48" w14:textId="77777777" w:rsidR="00834767" w:rsidRPr="00BE383A" w:rsidRDefault="00326F97" w:rsidP="00BE3512">
      <w:pPr>
        <w:pStyle w:val="Titre4"/>
      </w:pPr>
      <w:bookmarkStart w:id="7" w:name="_ymfqf7jy9wd4"/>
      <w:bookmarkEnd w:id="7"/>
      <w:r w:rsidRPr="00BE383A">
        <w:t>Critère d'évaluation n° 1 : Droit de se présenter aux élections</w:t>
      </w:r>
    </w:p>
    <w:p w14:paraId="0F0D1936" w14:textId="77777777" w:rsidR="00834767" w:rsidRPr="00BE383A" w:rsidRDefault="00326F97" w:rsidP="001545ED">
      <w:pPr>
        <w:spacing w:line="240" w:lineRule="auto"/>
        <w:rPr>
          <w:sz w:val="20"/>
          <w:szCs w:val="20"/>
        </w:rPr>
      </w:pPr>
      <w:r w:rsidRPr="00BE383A">
        <w:rPr>
          <w:sz w:val="20"/>
        </w:rPr>
        <w:t xml:space="preserve">Le cadre juridique établit que tout citoyen remplissant les conditions requises a le droit de se présenter aux élections en tant que candidat individuel ou membre d'un parti politique. </w:t>
      </w:r>
    </w:p>
    <w:p w14:paraId="048CEE1C" w14:textId="77777777" w:rsidR="00834767" w:rsidRPr="00BE383A" w:rsidRDefault="0083476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BE383A" w14:paraId="415A6361"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975235" w14:textId="77777777" w:rsidR="00834767" w:rsidRPr="00BE383A" w:rsidRDefault="00326F97">
            <w:pPr>
              <w:jc w:val="center"/>
              <w:rPr>
                <w:rFonts w:eastAsia="Calibri"/>
                <w:sz w:val="20"/>
                <w:szCs w:val="20"/>
              </w:rPr>
            </w:pPr>
            <w:bookmarkStart w:id="8" w:name="_lgegijn9pods"/>
            <w:bookmarkEnd w:id="8"/>
            <w:r w:rsidRPr="00BE383A">
              <w:rPr>
                <w:sz w:val="20"/>
              </w:rPr>
              <w:t>Néant</w:t>
            </w:r>
          </w:p>
          <w:p w14:paraId="21399146"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86F1FD" w14:textId="77777777" w:rsidR="00834767" w:rsidRPr="00BE383A" w:rsidRDefault="00326F97">
            <w:pPr>
              <w:jc w:val="center"/>
              <w:rPr>
                <w:rFonts w:eastAsia="Calibri"/>
                <w:sz w:val="20"/>
                <w:szCs w:val="20"/>
              </w:rPr>
            </w:pPr>
            <w:r w:rsidRPr="00BE383A">
              <w:rPr>
                <w:sz w:val="20"/>
              </w:rPr>
              <w:t xml:space="preserve">Médiocre </w:t>
            </w:r>
          </w:p>
          <w:p w14:paraId="2BFE3C4C"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5BEABA" w14:textId="77777777" w:rsidR="00834767" w:rsidRPr="00BE383A" w:rsidRDefault="00326F97">
            <w:pPr>
              <w:jc w:val="center"/>
              <w:rPr>
                <w:rFonts w:eastAsia="Calibri"/>
                <w:sz w:val="20"/>
                <w:szCs w:val="20"/>
              </w:rPr>
            </w:pPr>
            <w:r w:rsidRPr="00BE383A">
              <w:rPr>
                <w:sz w:val="20"/>
              </w:rPr>
              <w:t>Moyen</w:t>
            </w:r>
          </w:p>
          <w:p w14:paraId="0848C77A"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1947FE" w14:textId="77777777" w:rsidR="00834767" w:rsidRPr="00BE383A" w:rsidRDefault="00326F97">
            <w:pPr>
              <w:jc w:val="center"/>
              <w:rPr>
                <w:rFonts w:eastAsia="Calibri"/>
                <w:sz w:val="20"/>
                <w:szCs w:val="20"/>
              </w:rPr>
            </w:pPr>
            <w:r w:rsidRPr="00BE383A">
              <w:rPr>
                <w:sz w:val="20"/>
              </w:rPr>
              <w:t>Bon</w:t>
            </w:r>
          </w:p>
          <w:p w14:paraId="43EBCFB6"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8C5D72" w14:textId="77777777" w:rsidR="00834767" w:rsidRPr="00BE383A" w:rsidRDefault="00326F97">
            <w:pPr>
              <w:jc w:val="center"/>
              <w:rPr>
                <w:rFonts w:eastAsia="Calibri"/>
                <w:sz w:val="20"/>
                <w:szCs w:val="20"/>
              </w:rPr>
            </w:pPr>
            <w:r w:rsidRPr="00BE383A">
              <w:rPr>
                <w:sz w:val="20"/>
              </w:rPr>
              <w:t>Très bon</w:t>
            </w:r>
          </w:p>
          <w:p w14:paraId="4BE9C092"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18D78EE" w14:textId="77777777" w:rsidR="00834767" w:rsidRPr="00BE383A" w:rsidRDefault="00326F97">
            <w:pPr>
              <w:jc w:val="center"/>
              <w:rPr>
                <w:rFonts w:eastAsia="Calibri"/>
                <w:sz w:val="20"/>
                <w:szCs w:val="20"/>
              </w:rPr>
            </w:pPr>
            <w:r w:rsidRPr="00BE383A">
              <w:rPr>
                <w:sz w:val="20"/>
              </w:rPr>
              <w:t>Excellent</w:t>
            </w:r>
          </w:p>
          <w:p w14:paraId="0B651EC7"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r>
      <w:tr w:rsidR="001545ED" w:rsidRPr="00BE383A" w14:paraId="49445434"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344B9" w14:textId="77777777" w:rsidR="00834767" w:rsidRPr="00BE383A" w:rsidRDefault="00326F97">
            <w:pPr>
              <w:rPr>
                <w:rFonts w:eastAsia="Calibri"/>
                <w:color w:val="005F9A"/>
                <w:sz w:val="20"/>
                <w:szCs w:val="20"/>
              </w:rPr>
            </w:pPr>
            <w:r w:rsidRPr="00BE383A">
              <w:rPr>
                <w:color w:val="005F9A"/>
                <w:sz w:val="20"/>
              </w:rPr>
              <w:t>Éléments à l'appui de l'évaluation :</w:t>
            </w:r>
          </w:p>
          <w:p w14:paraId="699047CB" w14:textId="77777777" w:rsidR="00834767" w:rsidRPr="00BE383A" w:rsidRDefault="00834767">
            <w:pPr>
              <w:rPr>
                <w:rFonts w:eastAsia="Calibri"/>
                <w:color w:val="0000FF"/>
                <w:sz w:val="20"/>
                <w:szCs w:val="20"/>
              </w:rPr>
            </w:pPr>
          </w:p>
          <w:p w14:paraId="5F1F27BD" w14:textId="77777777" w:rsidR="00834767" w:rsidRPr="00BE383A" w:rsidRDefault="00834767">
            <w:pPr>
              <w:rPr>
                <w:rFonts w:eastAsia="Calibri"/>
                <w:color w:val="0000FF"/>
                <w:sz w:val="20"/>
                <w:szCs w:val="20"/>
              </w:rPr>
            </w:pPr>
          </w:p>
        </w:tc>
      </w:tr>
    </w:tbl>
    <w:p w14:paraId="5D5F20DC" w14:textId="77777777" w:rsidR="00834767" w:rsidRPr="00BE383A" w:rsidRDefault="00326F97" w:rsidP="00BE3512">
      <w:pPr>
        <w:pStyle w:val="Titre4"/>
      </w:pPr>
      <w:r w:rsidRPr="00BE383A">
        <w:t xml:space="preserve">Critère d'évaluation n° 2 : Droit de devenir membre d'un parti politique ou d'en créer un </w:t>
      </w:r>
    </w:p>
    <w:p w14:paraId="257C8D30" w14:textId="77777777" w:rsidR="00834767" w:rsidRPr="00BE383A" w:rsidRDefault="00326F97" w:rsidP="00684C9A">
      <w:pPr>
        <w:spacing w:line="240" w:lineRule="auto"/>
        <w:rPr>
          <w:sz w:val="20"/>
        </w:rPr>
      </w:pPr>
      <w:r w:rsidRPr="00BE383A">
        <w:rPr>
          <w:sz w:val="20"/>
        </w:rPr>
        <w:t>Les citoyens et les groupes de citoyens ont le droit de devenir membres d'un parti politique ou d'en créer un pour prendre part aux élections. Toute exception à ce droit est non discriminatoire, conforme aux obligations internationales et clairement définie par la loi.</w:t>
      </w:r>
    </w:p>
    <w:p w14:paraId="3641282E" w14:textId="77777777" w:rsidR="00834767" w:rsidRPr="00BE383A" w:rsidRDefault="0083476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BE383A" w14:paraId="3BC8AF2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AF39F5" w14:textId="77777777" w:rsidR="00834767" w:rsidRPr="00BE383A" w:rsidRDefault="00326F97">
            <w:pPr>
              <w:jc w:val="center"/>
              <w:rPr>
                <w:rFonts w:eastAsia="Calibri"/>
                <w:sz w:val="20"/>
                <w:szCs w:val="20"/>
              </w:rPr>
            </w:pPr>
            <w:r w:rsidRPr="00BE383A">
              <w:rPr>
                <w:sz w:val="20"/>
              </w:rPr>
              <w:t>Néant</w:t>
            </w:r>
          </w:p>
          <w:p w14:paraId="694F769E"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868D1A" w14:textId="77777777" w:rsidR="00834767" w:rsidRPr="00BE383A" w:rsidRDefault="00326F97">
            <w:pPr>
              <w:jc w:val="center"/>
              <w:rPr>
                <w:rFonts w:eastAsia="Calibri"/>
                <w:sz w:val="20"/>
                <w:szCs w:val="20"/>
              </w:rPr>
            </w:pPr>
            <w:r w:rsidRPr="00BE383A">
              <w:rPr>
                <w:sz w:val="20"/>
              </w:rPr>
              <w:t xml:space="preserve">Médiocre </w:t>
            </w:r>
          </w:p>
          <w:p w14:paraId="4CDFE208"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EF209A" w14:textId="77777777" w:rsidR="00834767" w:rsidRPr="00BE383A" w:rsidRDefault="00326F97">
            <w:pPr>
              <w:jc w:val="center"/>
              <w:rPr>
                <w:rFonts w:eastAsia="Calibri"/>
                <w:sz w:val="20"/>
                <w:szCs w:val="20"/>
              </w:rPr>
            </w:pPr>
            <w:r w:rsidRPr="00BE383A">
              <w:rPr>
                <w:sz w:val="20"/>
              </w:rPr>
              <w:t>Moyen</w:t>
            </w:r>
          </w:p>
          <w:p w14:paraId="47C289AA"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2810CF" w14:textId="77777777" w:rsidR="00834767" w:rsidRPr="00BE383A" w:rsidRDefault="00326F97">
            <w:pPr>
              <w:jc w:val="center"/>
              <w:rPr>
                <w:rFonts w:eastAsia="Calibri"/>
                <w:sz w:val="20"/>
                <w:szCs w:val="20"/>
              </w:rPr>
            </w:pPr>
            <w:r w:rsidRPr="00BE383A">
              <w:rPr>
                <w:sz w:val="20"/>
              </w:rPr>
              <w:t>Bon</w:t>
            </w:r>
          </w:p>
          <w:p w14:paraId="551984B4"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04CD60" w14:textId="77777777" w:rsidR="00834767" w:rsidRPr="00BE383A" w:rsidRDefault="00326F97">
            <w:pPr>
              <w:jc w:val="center"/>
              <w:rPr>
                <w:rFonts w:eastAsia="Calibri"/>
                <w:sz w:val="20"/>
                <w:szCs w:val="20"/>
              </w:rPr>
            </w:pPr>
            <w:r w:rsidRPr="00BE383A">
              <w:rPr>
                <w:sz w:val="20"/>
              </w:rPr>
              <w:t>Très bon</w:t>
            </w:r>
          </w:p>
          <w:p w14:paraId="0647A981"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63E743C" w14:textId="77777777" w:rsidR="00834767" w:rsidRPr="00BE383A" w:rsidRDefault="00326F97">
            <w:pPr>
              <w:jc w:val="center"/>
              <w:rPr>
                <w:rFonts w:eastAsia="Calibri"/>
                <w:sz w:val="20"/>
                <w:szCs w:val="20"/>
              </w:rPr>
            </w:pPr>
            <w:r w:rsidRPr="00BE383A">
              <w:rPr>
                <w:sz w:val="20"/>
              </w:rPr>
              <w:t>Excellent</w:t>
            </w:r>
          </w:p>
          <w:p w14:paraId="24FDE862"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r>
      <w:tr w:rsidR="001545ED" w:rsidRPr="00BE383A" w14:paraId="5E6A73F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328F5" w14:textId="77777777" w:rsidR="00834767" w:rsidRPr="00BE383A" w:rsidRDefault="00326F97">
            <w:pPr>
              <w:rPr>
                <w:rFonts w:eastAsia="Calibri"/>
                <w:color w:val="005F9A"/>
                <w:sz w:val="20"/>
                <w:szCs w:val="20"/>
              </w:rPr>
            </w:pPr>
            <w:r w:rsidRPr="00BE383A">
              <w:rPr>
                <w:color w:val="005F9A"/>
                <w:sz w:val="20"/>
              </w:rPr>
              <w:t>Éléments à l'appui de l'évaluation :</w:t>
            </w:r>
          </w:p>
          <w:p w14:paraId="3776F9AC" w14:textId="77777777" w:rsidR="00834767" w:rsidRPr="00BE383A" w:rsidRDefault="00834767">
            <w:pPr>
              <w:rPr>
                <w:rFonts w:eastAsia="Calibri"/>
                <w:color w:val="0000FF"/>
                <w:sz w:val="20"/>
                <w:szCs w:val="20"/>
              </w:rPr>
            </w:pPr>
          </w:p>
          <w:p w14:paraId="6A551DF0" w14:textId="77777777" w:rsidR="00834767" w:rsidRPr="00BE383A" w:rsidRDefault="00834767">
            <w:pPr>
              <w:rPr>
                <w:rFonts w:eastAsia="Calibri"/>
                <w:color w:val="0000FF"/>
                <w:sz w:val="20"/>
                <w:szCs w:val="20"/>
              </w:rPr>
            </w:pPr>
          </w:p>
        </w:tc>
      </w:tr>
    </w:tbl>
    <w:p w14:paraId="34EF2378" w14:textId="77777777" w:rsidR="00834767" w:rsidRPr="00BE383A" w:rsidRDefault="00326F97" w:rsidP="00BE3512">
      <w:pPr>
        <w:pStyle w:val="Titre4"/>
      </w:pPr>
      <w:bookmarkStart w:id="9" w:name="_syr759nh66rc"/>
      <w:bookmarkEnd w:id="9"/>
      <w:r w:rsidRPr="00BE383A">
        <w:t>Critère d'évaluation n° 3 : Droit de recours</w:t>
      </w:r>
    </w:p>
    <w:p w14:paraId="5530858A" w14:textId="14912870" w:rsidR="00834767" w:rsidRPr="00BE383A" w:rsidRDefault="00326F97" w:rsidP="001545ED">
      <w:pPr>
        <w:spacing w:line="240" w:lineRule="auto"/>
        <w:rPr>
          <w:sz w:val="20"/>
          <w:szCs w:val="20"/>
        </w:rPr>
      </w:pPr>
      <w:r w:rsidRPr="00BE383A">
        <w:rPr>
          <w:sz w:val="20"/>
        </w:rPr>
        <w:t>Le cadre juridique garantit le droit de déposer un recours auprès d'un organe compétent et indépendant en cas de violation présumée des droits politiques et électoraux. La procédure de recours, ainsi que les compétences et les obligations des organes concernés, sont clairement défini</w:t>
      </w:r>
      <w:r w:rsidR="004B2AFE" w:rsidRPr="00BE383A">
        <w:rPr>
          <w:sz w:val="20"/>
        </w:rPr>
        <w:t>e</w:t>
      </w:r>
      <w:r w:rsidRPr="00BE383A">
        <w:rPr>
          <w:sz w:val="20"/>
        </w:rPr>
        <w:t>s. Le temps imparti pour introduire un recours et rendre une décision à ce propos est relativement court.</w:t>
      </w:r>
    </w:p>
    <w:p w14:paraId="417FDBE5" w14:textId="77777777" w:rsidR="00834767" w:rsidRPr="00BE383A" w:rsidRDefault="0083476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BE383A" w14:paraId="1CC6B50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23B515" w14:textId="77777777" w:rsidR="00834767" w:rsidRPr="00BE383A" w:rsidRDefault="00326F97">
            <w:pPr>
              <w:jc w:val="center"/>
              <w:rPr>
                <w:rFonts w:eastAsia="Calibri"/>
                <w:sz w:val="20"/>
                <w:szCs w:val="20"/>
              </w:rPr>
            </w:pPr>
            <w:r w:rsidRPr="00BE383A">
              <w:rPr>
                <w:sz w:val="20"/>
              </w:rPr>
              <w:t>Néant</w:t>
            </w:r>
          </w:p>
          <w:p w14:paraId="31E6DF1D"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0A3860" w14:textId="77777777" w:rsidR="00834767" w:rsidRPr="00BE383A" w:rsidRDefault="00326F97">
            <w:pPr>
              <w:jc w:val="center"/>
              <w:rPr>
                <w:rFonts w:eastAsia="Calibri"/>
                <w:sz w:val="20"/>
                <w:szCs w:val="20"/>
              </w:rPr>
            </w:pPr>
            <w:r w:rsidRPr="00BE383A">
              <w:rPr>
                <w:sz w:val="20"/>
              </w:rPr>
              <w:t xml:space="preserve">Médiocre </w:t>
            </w:r>
          </w:p>
          <w:p w14:paraId="00217061"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E0E0E1" w14:textId="77777777" w:rsidR="00834767" w:rsidRPr="00BE383A" w:rsidRDefault="00326F97">
            <w:pPr>
              <w:jc w:val="center"/>
              <w:rPr>
                <w:rFonts w:eastAsia="Calibri"/>
                <w:sz w:val="20"/>
                <w:szCs w:val="20"/>
              </w:rPr>
            </w:pPr>
            <w:r w:rsidRPr="00BE383A">
              <w:rPr>
                <w:sz w:val="20"/>
              </w:rPr>
              <w:t>Moyen</w:t>
            </w:r>
          </w:p>
          <w:p w14:paraId="571FDA16"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FE50DC" w14:textId="77777777" w:rsidR="00834767" w:rsidRPr="00BE383A" w:rsidRDefault="00326F97">
            <w:pPr>
              <w:jc w:val="center"/>
              <w:rPr>
                <w:rFonts w:eastAsia="Calibri"/>
                <w:sz w:val="20"/>
                <w:szCs w:val="20"/>
              </w:rPr>
            </w:pPr>
            <w:r w:rsidRPr="00BE383A">
              <w:rPr>
                <w:sz w:val="20"/>
              </w:rPr>
              <w:t>Bon</w:t>
            </w:r>
          </w:p>
          <w:p w14:paraId="66710413"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B64C5C" w14:textId="77777777" w:rsidR="00834767" w:rsidRPr="00BE383A" w:rsidRDefault="00326F97">
            <w:pPr>
              <w:jc w:val="center"/>
              <w:rPr>
                <w:rFonts w:eastAsia="Calibri"/>
                <w:sz w:val="20"/>
                <w:szCs w:val="20"/>
              </w:rPr>
            </w:pPr>
            <w:r w:rsidRPr="00BE383A">
              <w:rPr>
                <w:sz w:val="20"/>
              </w:rPr>
              <w:t>Très bon</w:t>
            </w:r>
          </w:p>
          <w:p w14:paraId="249C17C7"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348E32B" w14:textId="77777777" w:rsidR="00834767" w:rsidRPr="00BE383A" w:rsidRDefault="00326F97">
            <w:pPr>
              <w:jc w:val="center"/>
              <w:rPr>
                <w:rFonts w:eastAsia="Calibri"/>
                <w:sz w:val="20"/>
                <w:szCs w:val="20"/>
              </w:rPr>
            </w:pPr>
            <w:r w:rsidRPr="00BE383A">
              <w:rPr>
                <w:sz w:val="20"/>
              </w:rPr>
              <w:t>Excellent</w:t>
            </w:r>
          </w:p>
          <w:p w14:paraId="6E3FB319"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r>
      <w:tr w:rsidR="001545ED" w:rsidRPr="00BE383A" w14:paraId="6CCE60B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C8E04" w14:textId="77777777" w:rsidR="00834767" w:rsidRPr="00BE383A" w:rsidRDefault="00326F97">
            <w:pPr>
              <w:rPr>
                <w:rFonts w:eastAsia="Calibri"/>
                <w:color w:val="005F9A"/>
                <w:sz w:val="20"/>
                <w:szCs w:val="20"/>
              </w:rPr>
            </w:pPr>
            <w:r w:rsidRPr="00BE383A">
              <w:rPr>
                <w:color w:val="005F9A"/>
                <w:sz w:val="20"/>
              </w:rPr>
              <w:t>Éléments à l'appui de l'évaluation :</w:t>
            </w:r>
          </w:p>
          <w:p w14:paraId="7880DE35" w14:textId="77777777" w:rsidR="00834767" w:rsidRPr="00BE383A" w:rsidRDefault="00834767">
            <w:pPr>
              <w:rPr>
                <w:rFonts w:eastAsia="Calibri"/>
                <w:color w:val="0000FF"/>
                <w:sz w:val="20"/>
                <w:szCs w:val="20"/>
              </w:rPr>
            </w:pPr>
          </w:p>
          <w:p w14:paraId="02D97E49" w14:textId="77777777" w:rsidR="00834767" w:rsidRPr="00BE383A" w:rsidRDefault="00834767">
            <w:pPr>
              <w:rPr>
                <w:rFonts w:eastAsia="Calibri"/>
                <w:color w:val="0000FF"/>
                <w:sz w:val="20"/>
                <w:szCs w:val="20"/>
              </w:rPr>
            </w:pPr>
          </w:p>
        </w:tc>
      </w:tr>
    </w:tbl>
    <w:p w14:paraId="4460BD59" w14:textId="77777777" w:rsidR="00834767" w:rsidRPr="00BE383A" w:rsidRDefault="00326F97" w:rsidP="0000157D">
      <w:pPr>
        <w:pStyle w:val="section-title"/>
      </w:pPr>
      <w:bookmarkStart w:id="10" w:name="_l9namxmswynj"/>
      <w:bookmarkEnd w:id="10"/>
      <w:r w:rsidRPr="00BE383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1545ED" w:rsidRPr="00BE383A" w14:paraId="74B0049A" w14:textId="77777777" w:rsidTr="00BA32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E4CD5B9" w14:textId="77777777" w:rsidR="00834767" w:rsidRPr="00BE383A" w:rsidRDefault="00326F97" w:rsidP="00BA3230">
            <w:pPr>
              <w:keepNext/>
              <w:keepLines/>
              <w:spacing w:line="240" w:lineRule="auto"/>
              <w:rPr>
                <w:rFonts w:eastAsia="Calibri"/>
                <w:sz w:val="20"/>
                <w:szCs w:val="20"/>
              </w:rPr>
            </w:pPr>
            <w:r w:rsidRPr="00BE383A">
              <w:rPr>
                <w:i/>
                <w:color w:val="000000"/>
                <w:sz w:val="20"/>
              </w:rPr>
              <w:t>Dans cet encadré, notez les recommandations et les idées visant à renforcer les règles et la pratique dans ce domaine.</w:t>
            </w:r>
          </w:p>
        </w:tc>
      </w:tr>
    </w:tbl>
    <w:p w14:paraId="1FAD8574" w14:textId="77777777" w:rsidR="00834767" w:rsidRPr="00BE383A" w:rsidRDefault="00326F97" w:rsidP="0000157D">
      <w:pPr>
        <w:pStyle w:val="section-title"/>
      </w:pPr>
      <w:r w:rsidRPr="00BE383A">
        <w:t>Sources et autre documentation</w:t>
      </w:r>
    </w:p>
    <w:p w14:paraId="13F21198" w14:textId="071398BB" w:rsidR="00944B3E" w:rsidRPr="00944B3E" w:rsidRDefault="00944B3E" w:rsidP="005A22A5">
      <w:pPr>
        <w:spacing w:line="240" w:lineRule="auto"/>
        <w:ind w:left="720"/>
        <w:rPr>
          <w:sz w:val="20"/>
          <w:szCs w:val="20"/>
        </w:rPr>
      </w:pPr>
    </w:p>
    <w:p w14:paraId="26A28BDA" w14:textId="3FF466C1" w:rsidR="005A22A5" w:rsidRPr="005A22A5" w:rsidRDefault="005A22A5" w:rsidP="009D7D27">
      <w:pPr>
        <w:keepNext/>
        <w:numPr>
          <w:ilvl w:val="0"/>
          <w:numId w:val="7"/>
        </w:numPr>
        <w:spacing w:line="240" w:lineRule="auto"/>
        <w:ind w:left="562" w:hanging="562"/>
        <w:rPr>
          <w:sz w:val="20"/>
          <w:szCs w:val="20"/>
        </w:rPr>
      </w:pPr>
      <w:r>
        <w:rPr>
          <w:sz w:val="20"/>
        </w:rPr>
        <w:t xml:space="preserve">Centre </w:t>
      </w:r>
      <w:r w:rsidRPr="00BE383A">
        <w:rPr>
          <w:sz w:val="20"/>
        </w:rPr>
        <w:t xml:space="preserve">d'information des Nations Unies pour les droits de l'homme, </w:t>
      </w:r>
      <w:hyperlink r:id="rId30">
        <w:r w:rsidRPr="00BE383A">
          <w:rPr>
            <w:i/>
            <w:color w:val="0563C1"/>
            <w:sz w:val="20"/>
            <w:u w:val="single"/>
          </w:rPr>
          <w:t xml:space="preserve">Human </w:t>
        </w:r>
        <w:proofErr w:type="spellStart"/>
        <w:r w:rsidRPr="00BE383A">
          <w:rPr>
            <w:i/>
            <w:color w:val="0563C1"/>
            <w:sz w:val="20"/>
            <w:u w:val="single"/>
          </w:rPr>
          <w:t>Rights</w:t>
        </w:r>
        <w:proofErr w:type="spellEnd"/>
        <w:r w:rsidRPr="00BE383A">
          <w:rPr>
            <w:i/>
            <w:color w:val="0563C1"/>
            <w:sz w:val="20"/>
            <w:u w:val="single"/>
          </w:rPr>
          <w:t xml:space="preserve"> and Elections:</w:t>
        </w:r>
      </w:hyperlink>
      <w:hyperlink r:id="rId31">
        <w:r w:rsidRPr="00BE383A">
          <w:rPr>
            <w:i/>
            <w:color w:val="0563C1"/>
            <w:sz w:val="20"/>
            <w:u w:val="single"/>
          </w:rPr>
          <w:t xml:space="preserve"> A </w:t>
        </w:r>
        <w:proofErr w:type="spellStart"/>
        <w:r w:rsidRPr="00BE383A">
          <w:rPr>
            <w:i/>
            <w:color w:val="0563C1"/>
            <w:sz w:val="20"/>
            <w:u w:val="single"/>
          </w:rPr>
          <w:t>Handbook</w:t>
        </w:r>
        <w:proofErr w:type="spellEnd"/>
        <w:r w:rsidRPr="00BE383A">
          <w:rPr>
            <w:i/>
            <w:color w:val="0563C1"/>
            <w:sz w:val="20"/>
            <w:u w:val="single"/>
          </w:rPr>
          <w:t xml:space="preserve"> on the Legal, </w:t>
        </w:r>
        <w:proofErr w:type="spellStart"/>
        <w:r w:rsidRPr="00BE383A">
          <w:rPr>
            <w:i/>
            <w:color w:val="0563C1"/>
            <w:sz w:val="20"/>
            <w:u w:val="single"/>
          </w:rPr>
          <w:t>Technical</w:t>
        </w:r>
        <w:proofErr w:type="spellEnd"/>
        <w:r w:rsidRPr="00BE383A">
          <w:rPr>
            <w:i/>
            <w:color w:val="0563C1"/>
            <w:sz w:val="20"/>
            <w:u w:val="single"/>
          </w:rPr>
          <w:t xml:space="preserve"> and Human </w:t>
        </w:r>
        <w:proofErr w:type="spellStart"/>
        <w:r w:rsidRPr="00BE383A">
          <w:rPr>
            <w:i/>
            <w:color w:val="0563C1"/>
            <w:sz w:val="20"/>
            <w:u w:val="single"/>
          </w:rPr>
          <w:t>Rights</w:t>
        </w:r>
        <w:proofErr w:type="spellEnd"/>
        <w:r w:rsidRPr="00BE383A">
          <w:rPr>
            <w:i/>
            <w:color w:val="0563C1"/>
            <w:sz w:val="20"/>
            <w:u w:val="single"/>
          </w:rPr>
          <w:t xml:space="preserve"> Aspects of Elections</w:t>
        </w:r>
      </w:hyperlink>
      <w:r w:rsidRPr="00BE383A">
        <w:rPr>
          <w:sz w:val="20"/>
        </w:rPr>
        <w:t xml:space="preserve"> (1994).</w:t>
      </w:r>
    </w:p>
    <w:p w14:paraId="53A56177" w14:textId="0D03DDAF" w:rsidR="005A22A5" w:rsidRPr="005A22A5" w:rsidRDefault="00326F97" w:rsidP="005A22A5">
      <w:pPr>
        <w:keepNext/>
        <w:numPr>
          <w:ilvl w:val="0"/>
          <w:numId w:val="7"/>
        </w:numPr>
        <w:spacing w:line="240" w:lineRule="auto"/>
        <w:ind w:left="562" w:hanging="562"/>
        <w:rPr>
          <w:sz w:val="20"/>
          <w:szCs w:val="20"/>
        </w:rPr>
      </w:pPr>
      <w:r w:rsidRPr="00BE383A">
        <w:rPr>
          <w:sz w:val="20"/>
        </w:rPr>
        <w:t xml:space="preserve">Commission européenne pour la démocratie par le droit (Commission de Venise), </w:t>
      </w:r>
      <w:hyperlink r:id="rId32">
        <w:r w:rsidRPr="00BE383A">
          <w:rPr>
            <w:i/>
            <w:color w:val="0563C1"/>
            <w:sz w:val="20"/>
            <w:u w:val="single"/>
          </w:rPr>
          <w:t>Code de bonne conduite en matière électorale :</w:t>
        </w:r>
      </w:hyperlink>
      <w:hyperlink r:id="rId33">
        <w:r w:rsidRPr="00BE383A">
          <w:rPr>
            <w:i/>
            <w:color w:val="0563C1"/>
            <w:sz w:val="20"/>
            <w:u w:val="single"/>
          </w:rPr>
          <w:t xml:space="preserve"> Lignes directrices et rapport explicatif</w:t>
        </w:r>
      </w:hyperlink>
      <w:r w:rsidRPr="00BE383A">
        <w:rPr>
          <w:sz w:val="20"/>
        </w:rPr>
        <w:t xml:space="preserve"> (2002).</w:t>
      </w:r>
    </w:p>
    <w:p w14:paraId="230E7C85" w14:textId="4AAFBB5A" w:rsidR="00834767" w:rsidRPr="00BE383A" w:rsidRDefault="00326F97" w:rsidP="009D7D27">
      <w:pPr>
        <w:keepNext/>
        <w:numPr>
          <w:ilvl w:val="0"/>
          <w:numId w:val="7"/>
        </w:numPr>
        <w:spacing w:line="240" w:lineRule="auto"/>
        <w:ind w:left="562" w:hanging="562"/>
        <w:rPr>
          <w:sz w:val="20"/>
          <w:szCs w:val="20"/>
        </w:rPr>
      </w:pPr>
      <w:r w:rsidRPr="00BE383A">
        <w:rPr>
          <w:sz w:val="20"/>
        </w:rPr>
        <w:t>Goodwin-Gill</w:t>
      </w:r>
      <w:r w:rsidR="009A4F60" w:rsidRPr="009A4F60">
        <w:rPr>
          <w:sz w:val="20"/>
        </w:rPr>
        <w:t xml:space="preserve"> </w:t>
      </w:r>
      <w:r w:rsidR="009A4F60" w:rsidRPr="00BE383A">
        <w:rPr>
          <w:sz w:val="20"/>
        </w:rPr>
        <w:t>Guy S.</w:t>
      </w:r>
      <w:r w:rsidRPr="00BE383A">
        <w:rPr>
          <w:sz w:val="20"/>
        </w:rPr>
        <w:t xml:space="preserve">, </w:t>
      </w:r>
      <w:hyperlink r:id="rId34">
        <w:r w:rsidR="00BE383A" w:rsidRPr="00BE383A">
          <w:rPr>
            <w:i/>
            <w:color w:val="0563C1"/>
            <w:sz w:val="20"/>
            <w:u w:val="single"/>
          </w:rPr>
          <w:t>Élections</w:t>
        </w:r>
        <w:r w:rsidRPr="00BE383A">
          <w:rPr>
            <w:i/>
            <w:color w:val="0563C1"/>
            <w:sz w:val="20"/>
            <w:u w:val="single"/>
          </w:rPr>
          <w:t xml:space="preserve"> libres et régulières :</w:t>
        </w:r>
      </w:hyperlink>
      <w:hyperlink r:id="rId35">
        <w:r w:rsidRPr="00BE383A">
          <w:rPr>
            <w:i/>
            <w:color w:val="0563C1"/>
            <w:sz w:val="20"/>
            <w:u w:val="single"/>
          </w:rPr>
          <w:t xml:space="preserve"> Nouvelle édition augmentée</w:t>
        </w:r>
      </w:hyperlink>
      <w:r w:rsidRPr="00BE383A">
        <w:rPr>
          <w:sz w:val="20"/>
        </w:rPr>
        <w:t xml:space="preserve"> (2006).</w:t>
      </w:r>
    </w:p>
    <w:p w14:paraId="7DCBB6EE" w14:textId="77777777" w:rsidR="00834767" w:rsidRPr="00BE383A" w:rsidRDefault="00326F97" w:rsidP="009D7D27">
      <w:pPr>
        <w:keepNext/>
        <w:numPr>
          <w:ilvl w:val="0"/>
          <w:numId w:val="7"/>
        </w:numPr>
        <w:spacing w:line="240" w:lineRule="auto"/>
        <w:ind w:left="562" w:hanging="562"/>
        <w:rPr>
          <w:sz w:val="20"/>
          <w:szCs w:val="20"/>
        </w:rPr>
      </w:pPr>
      <w:r w:rsidRPr="00BE383A">
        <w:rPr>
          <w:sz w:val="20"/>
        </w:rPr>
        <w:t xml:space="preserve">Institut international pour la démocratie et l'assistance électorale (International IDEA), </w:t>
      </w:r>
      <w:hyperlink r:id="rId36">
        <w:r w:rsidRPr="00BE383A">
          <w:rPr>
            <w:i/>
            <w:color w:val="1155CC"/>
            <w:sz w:val="20"/>
            <w:u w:val="single"/>
          </w:rPr>
          <w:t xml:space="preserve">International Electoral Standards: Guidelines for </w:t>
        </w:r>
        <w:proofErr w:type="spellStart"/>
        <w:r w:rsidRPr="00BE383A">
          <w:rPr>
            <w:i/>
            <w:color w:val="1155CC"/>
            <w:sz w:val="20"/>
            <w:u w:val="single"/>
          </w:rPr>
          <w:t>reviewing</w:t>
        </w:r>
        <w:proofErr w:type="spellEnd"/>
        <w:r w:rsidRPr="00BE383A">
          <w:rPr>
            <w:i/>
            <w:color w:val="1155CC"/>
            <w:sz w:val="20"/>
            <w:u w:val="single"/>
          </w:rPr>
          <w:t xml:space="preserve"> the </w:t>
        </w:r>
        <w:proofErr w:type="spellStart"/>
        <w:r w:rsidRPr="00BE383A">
          <w:rPr>
            <w:i/>
            <w:color w:val="1155CC"/>
            <w:sz w:val="20"/>
            <w:u w:val="single"/>
          </w:rPr>
          <w:t>legal</w:t>
        </w:r>
        <w:proofErr w:type="spellEnd"/>
        <w:r w:rsidRPr="00BE383A">
          <w:rPr>
            <w:i/>
            <w:color w:val="1155CC"/>
            <w:sz w:val="20"/>
            <w:u w:val="single"/>
          </w:rPr>
          <w:t xml:space="preserve"> </w:t>
        </w:r>
        <w:proofErr w:type="spellStart"/>
        <w:r w:rsidRPr="00BE383A">
          <w:rPr>
            <w:i/>
            <w:color w:val="1155CC"/>
            <w:sz w:val="20"/>
            <w:u w:val="single"/>
          </w:rPr>
          <w:t>framework</w:t>
        </w:r>
        <w:proofErr w:type="spellEnd"/>
        <w:r w:rsidRPr="00BE383A">
          <w:rPr>
            <w:i/>
            <w:color w:val="1155CC"/>
            <w:sz w:val="20"/>
            <w:u w:val="single"/>
          </w:rPr>
          <w:t xml:space="preserve"> of </w:t>
        </w:r>
        <w:proofErr w:type="spellStart"/>
        <w:r w:rsidRPr="00BE383A">
          <w:rPr>
            <w:i/>
            <w:color w:val="1155CC"/>
            <w:sz w:val="20"/>
            <w:u w:val="single"/>
          </w:rPr>
          <w:t>elections</w:t>
        </w:r>
        <w:proofErr w:type="spellEnd"/>
      </w:hyperlink>
      <w:r w:rsidRPr="00BE383A">
        <w:rPr>
          <w:sz w:val="20"/>
        </w:rPr>
        <w:t xml:space="preserve"> (2002).</w:t>
      </w:r>
    </w:p>
    <w:p w14:paraId="238B42B0" w14:textId="77777777" w:rsidR="009A4F60" w:rsidRPr="00326F97" w:rsidRDefault="00326F97" w:rsidP="009D7D27">
      <w:pPr>
        <w:keepNext/>
        <w:numPr>
          <w:ilvl w:val="0"/>
          <w:numId w:val="7"/>
        </w:numPr>
        <w:spacing w:line="240" w:lineRule="auto"/>
        <w:ind w:left="562" w:hanging="562"/>
        <w:rPr>
          <w:sz w:val="20"/>
          <w:szCs w:val="20"/>
          <w:lang w:val="en-US"/>
        </w:rPr>
      </w:pPr>
      <w:r w:rsidRPr="00326F97">
        <w:rPr>
          <w:sz w:val="20"/>
          <w:lang w:val="en-US"/>
        </w:rPr>
        <w:t xml:space="preserve">International IDEA, </w:t>
      </w:r>
      <w:hyperlink r:id="rId37">
        <w:r w:rsidRPr="00326F97">
          <w:rPr>
            <w:i/>
            <w:color w:val="0563C1"/>
            <w:sz w:val="20"/>
            <w:u w:val="single"/>
            <w:lang w:val="en-US"/>
          </w:rPr>
          <w:t>Electoral Justice:</w:t>
        </w:r>
      </w:hyperlink>
      <w:hyperlink r:id="rId38">
        <w:r w:rsidRPr="00326F97">
          <w:rPr>
            <w:i/>
            <w:color w:val="0563C1"/>
            <w:sz w:val="20"/>
            <w:u w:val="single"/>
            <w:lang w:val="en-US"/>
          </w:rPr>
          <w:t xml:space="preserve"> The International IDEA Handbook</w:t>
        </w:r>
      </w:hyperlink>
      <w:r w:rsidRPr="00326F97">
        <w:rPr>
          <w:sz w:val="20"/>
          <w:lang w:val="en-US"/>
        </w:rPr>
        <w:t xml:space="preserve"> (2010).</w:t>
      </w:r>
    </w:p>
    <w:p w14:paraId="3F6D1C6D" w14:textId="6890AF29" w:rsidR="009A4F60" w:rsidRPr="00326F97" w:rsidRDefault="009A4F60" w:rsidP="009A4F60">
      <w:pPr>
        <w:keepNext/>
        <w:numPr>
          <w:ilvl w:val="0"/>
          <w:numId w:val="7"/>
        </w:numPr>
        <w:spacing w:line="240" w:lineRule="auto"/>
        <w:ind w:left="562" w:hanging="562"/>
        <w:rPr>
          <w:sz w:val="20"/>
          <w:szCs w:val="20"/>
          <w:lang w:val="en-US"/>
        </w:rPr>
      </w:pPr>
      <w:r w:rsidRPr="00326F97">
        <w:rPr>
          <w:sz w:val="20"/>
          <w:lang w:val="en-US"/>
        </w:rPr>
        <w:t xml:space="preserve">International IDEA, </w:t>
      </w:r>
      <w:hyperlink r:id="rId39">
        <w:r w:rsidRPr="00326F97">
          <w:rPr>
            <w:i/>
            <w:color w:val="0563C1"/>
            <w:sz w:val="20"/>
            <w:u w:val="single"/>
            <w:lang w:val="en-US"/>
          </w:rPr>
          <w:t>Funding of Political Parties and Election Campaigns:</w:t>
        </w:r>
      </w:hyperlink>
      <w:hyperlink r:id="rId40">
        <w:r w:rsidRPr="00326F97">
          <w:rPr>
            <w:i/>
            <w:color w:val="0563C1"/>
            <w:sz w:val="20"/>
            <w:u w:val="single"/>
            <w:lang w:val="en-US"/>
          </w:rPr>
          <w:t xml:space="preserve"> A Handbook on Political Finance</w:t>
        </w:r>
      </w:hyperlink>
      <w:r w:rsidRPr="00326F97">
        <w:rPr>
          <w:sz w:val="20"/>
          <w:lang w:val="en-US"/>
        </w:rPr>
        <w:t xml:space="preserve"> (2014).</w:t>
      </w:r>
    </w:p>
    <w:p w14:paraId="291256EC" w14:textId="30F43468" w:rsidR="00834767" w:rsidRPr="00326F97" w:rsidRDefault="00326F97" w:rsidP="009D7D27">
      <w:pPr>
        <w:keepNext/>
        <w:numPr>
          <w:ilvl w:val="0"/>
          <w:numId w:val="7"/>
        </w:numPr>
        <w:spacing w:line="240" w:lineRule="auto"/>
        <w:ind w:left="562" w:hanging="562"/>
        <w:rPr>
          <w:sz w:val="20"/>
          <w:szCs w:val="20"/>
          <w:lang w:val="en-US"/>
        </w:rPr>
      </w:pPr>
      <w:r w:rsidRPr="00326F97">
        <w:rPr>
          <w:sz w:val="20"/>
          <w:lang w:val="en-US"/>
        </w:rPr>
        <w:t xml:space="preserve">International IDEA, </w:t>
      </w:r>
      <w:hyperlink r:id="rId41">
        <w:r w:rsidRPr="00326F97">
          <w:rPr>
            <w:i/>
            <w:color w:val="0563C1"/>
            <w:sz w:val="20"/>
            <w:u w:val="single"/>
            <w:lang w:val="en-US"/>
          </w:rPr>
          <w:t>International Obligations for Elections:</w:t>
        </w:r>
      </w:hyperlink>
      <w:hyperlink r:id="rId42">
        <w:r w:rsidRPr="00326F97">
          <w:rPr>
            <w:i/>
            <w:color w:val="0563C1"/>
            <w:sz w:val="20"/>
            <w:u w:val="single"/>
            <w:lang w:val="en-US"/>
          </w:rPr>
          <w:t xml:space="preserve"> Guidelines for Legal Frameworks</w:t>
        </w:r>
      </w:hyperlink>
      <w:r w:rsidRPr="00326F97">
        <w:rPr>
          <w:sz w:val="20"/>
          <w:lang w:val="en-US"/>
        </w:rPr>
        <w:t xml:space="preserve"> (2014).</w:t>
      </w:r>
    </w:p>
    <w:p w14:paraId="4E7DCF0F" w14:textId="4BBCC88D" w:rsidR="00944B3E" w:rsidRPr="00326F97" w:rsidRDefault="00944B3E" w:rsidP="00944B3E">
      <w:pPr>
        <w:keepNext/>
        <w:numPr>
          <w:ilvl w:val="0"/>
          <w:numId w:val="7"/>
        </w:numPr>
        <w:spacing w:line="240" w:lineRule="auto"/>
        <w:ind w:left="562" w:hanging="562"/>
        <w:rPr>
          <w:sz w:val="20"/>
          <w:szCs w:val="20"/>
          <w:lang w:val="en-US"/>
        </w:rPr>
      </w:pPr>
      <w:proofErr w:type="spellStart"/>
      <w:r w:rsidRPr="00326F97">
        <w:rPr>
          <w:sz w:val="20"/>
          <w:lang w:val="en-US"/>
        </w:rPr>
        <w:t>Organisation</w:t>
      </w:r>
      <w:proofErr w:type="spellEnd"/>
      <w:r w:rsidRPr="00326F97">
        <w:rPr>
          <w:sz w:val="20"/>
          <w:lang w:val="en-US"/>
        </w:rPr>
        <w:t xml:space="preserve"> pour la </w:t>
      </w:r>
      <w:proofErr w:type="spellStart"/>
      <w:r w:rsidRPr="00326F97">
        <w:rPr>
          <w:sz w:val="20"/>
          <w:lang w:val="en-US"/>
        </w:rPr>
        <w:t>sécurité</w:t>
      </w:r>
      <w:proofErr w:type="spellEnd"/>
      <w:r w:rsidRPr="00326F97">
        <w:rPr>
          <w:sz w:val="20"/>
          <w:lang w:val="en-US"/>
        </w:rPr>
        <w:t xml:space="preserve"> et la </w:t>
      </w:r>
      <w:proofErr w:type="spellStart"/>
      <w:r w:rsidRPr="00326F97">
        <w:rPr>
          <w:sz w:val="20"/>
          <w:lang w:val="en-US"/>
        </w:rPr>
        <w:t>coopération</w:t>
      </w:r>
      <w:proofErr w:type="spellEnd"/>
      <w:r w:rsidRPr="00326F97">
        <w:rPr>
          <w:sz w:val="20"/>
          <w:lang w:val="en-US"/>
        </w:rPr>
        <w:t xml:space="preserve"> </w:t>
      </w:r>
      <w:proofErr w:type="spellStart"/>
      <w:r w:rsidRPr="00326F97">
        <w:rPr>
          <w:sz w:val="20"/>
          <w:lang w:val="en-US"/>
        </w:rPr>
        <w:t>en</w:t>
      </w:r>
      <w:proofErr w:type="spellEnd"/>
      <w:r w:rsidRPr="00326F97">
        <w:rPr>
          <w:sz w:val="20"/>
          <w:lang w:val="en-US"/>
        </w:rPr>
        <w:t xml:space="preserve"> Europe (OSCE), </w:t>
      </w:r>
      <w:hyperlink r:id="rId43">
        <w:r w:rsidRPr="00326F97">
          <w:rPr>
            <w:i/>
            <w:color w:val="0563C1"/>
            <w:sz w:val="20"/>
            <w:u w:val="single"/>
            <w:lang w:val="en-US"/>
          </w:rPr>
          <w:t>International Standards and Commitments on the Right to Democratic Elections:</w:t>
        </w:r>
      </w:hyperlink>
      <w:hyperlink r:id="rId44">
        <w:r w:rsidRPr="00326F97">
          <w:rPr>
            <w:i/>
            <w:color w:val="0563C1"/>
            <w:sz w:val="20"/>
            <w:u w:val="single"/>
            <w:lang w:val="en-US"/>
          </w:rPr>
          <w:t xml:space="preserve"> A Practical Guide to Democratic Elections:</w:t>
        </w:r>
      </w:hyperlink>
      <w:hyperlink r:id="rId45">
        <w:r w:rsidRPr="00326F97">
          <w:rPr>
            <w:i/>
            <w:color w:val="0563C1"/>
            <w:sz w:val="20"/>
            <w:u w:val="single"/>
            <w:lang w:val="en-US"/>
          </w:rPr>
          <w:t xml:space="preserve"> Best Practice</w:t>
        </w:r>
      </w:hyperlink>
      <w:r w:rsidRPr="00326F97">
        <w:rPr>
          <w:sz w:val="20"/>
          <w:lang w:val="en-US"/>
        </w:rPr>
        <w:t xml:space="preserve"> (2002).</w:t>
      </w:r>
    </w:p>
    <w:p w14:paraId="16108173" w14:textId="77777777" w:rsidR="00834767" w:rsidRPr="00BE383A" w:rsidRDefault="00326F97" w:rsidP="009D7D27">
      <w:pPr>
        <w:keepNext/>
        <w:numPr>
          <w:ilvl w:val="0"/>
          <w:numId w:val="7"/>
        </w:numPr>
        <w:spacing w:line="240" w:lineRule="auto"/>
        <w:ind w:left="562" w:hanging="562"/>
        <w:rPr>
          <w:sz w:val="20"/>
          <w:szCs w:val="20"/>
        </w:rPr>
      </w:pPr>
      <w:r w:rsidRPr="00BE383A">
        <w:rPr>
          <w:sz w:val="20"/>
        </w:rPr>
        <w:t xml:space="preserve">UIP, </w:t>
      </w:r>
      <w:hyperlink r:id="rId46">
        <w:r w:rsidRPr="00BE383A">
          <w:rPr>
            <w:i/>
            <w:iCs/>
            <w:color w:val="0563C1"/>
            <w:sz w:val="20"/>
            <w:u w:val="single"/>
          </w:rPr>
          <w:t>Déclaration sur les critères pour des élections libres et régulières</w:t>
        </w:r>
      </w:hyperlink>
      <w:r w:rsidRPr="00BE383A">
        <w:rPr>
          <w:sz w:val="20"/>
        </w:rPr>
        <w:t>, adoptée par le Conseil interparlementaire lors de sa 154</w:t>
      </w:r>
      <w:r w:rsidRPr="00BE383A">
        <w:rPr>
          <w:sz w:val="20"/>
          <w:vertAlign w:val="superscript"/>
        </w:rPr>
        <w:t>e</w:t>
      </w:r>
      <w:r w:rsidRPr="00BE383A">
        <w:rPr>
          <w:sz w:val="20"/>
        </w:rPr>
        <w:t xml:space="preserve"> session (1994).</w:t>
      </w:r>
    </w:p>
    <w:p w14:paraId="343F7CAE" w14:textId="77777777" w:rsidR="00834767" w:rsidRPr="00BE383A" w:rsidRDefault="00834767" w:rsidP="001545ED">
      <w:pPr>
        <w:spacing w:line="240" w:lineRule="auto"/>
        <w:rPr>
          <w:sz w:val="20"/>
          <w:szCs w:val="20"/>
        </w:rPr>
      </w:pPr>
    </w:p>
    <w:p w14:paraId="029EDC6E" w14:textId="77777777" w:rsidR="00834767" w:rsidRPr="00BE383A" w:rsidRDefault="00834767" w:rsidP="001545ED">
      <w:pPr>
        <w:spacing w:line="240" w:lineRule="auto"/>
        <w:rPr>
          <w:sz w:val="20"/>
          <w:szCs w:val="20"/>
        </w:rPr>
      </w:pPr>
    </w:p>
    <w:p w14:paraId="237B2ACD" w14:textId="77777777" w:rsidR="00834767" w:rsidRPr="00BE383A" w:rsidRDefault="00834767" w:rsidP="001545ED">
      <w:pPr>
        <w:spacing w:line="240" w:lineRule="auto"/>
        <w:rPr>
          <w:sz w:val="20"/>
          <w:szCs w:val="20"/>
        </w:rPr>
      </w:pPr>
    </w:p>
    <w:p w14:paraId="4725AEDA" w14:textId="77777777" w:rsidR="00834767" w:rsidRPr="00BE383A" w:rsidRDefault="00326F97" w:rsidP="0000157D">
      <w:pPr>
        <w:pStyle w:val="Dimension"/>
        <w:rPr>
          <w:szCs w:val="24"/>
        </w:rPr>
      </w:pPr>
      <w:bookmarkStart w:id="11" w:name="_3dy6vkm"/>
      <w:bookmarkEnd w:id="11"/>
      <w:r w:rsidRPr="00BE383A">
        <w:t>Aspect 7.1.3 : Rôle des pouvoirs publics dans les élections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545ED" w:rsidRPr="00BE383A" w14:paraId="23025DC4" w14:textId="77777777" w:rsidTr="00BA3230">
        <w:tc>
          <w:tcPr>
            <w:tcW w:w="9350" w:type="dxa"/>
            <w:shd w:val="clear" w:color="auto" w:fill="auto"/>
          </w:tcPr>
          <w:p w14:paraId="0BB1AA67" w14:textId="77777777" w:rsidR="00834767" w:rsidRPr="00BE383A" w:rsidRDefault="00326F97" w:rsidP="00BA3230">
            <w:pPr>
              <w:spacing w:line="240" w:lineRule="auto"/>
              <w:rPr>
                <w:sz w:val="20"/>
                <w:szCs w:val="20"/>
              </w:rPr>
            </w:pPr>
            <w:r w:rsidRPr="00BE383A">
              <w:rPr>
                <w:sz w:val="20"/>
              </w:rPr>
              <w:t>Cet aspect s'applique aux éléments suivants :</w:t>
            </w:r>
          </w:p>
          <w:p w14:paraId="39E2F6A7" w14:textId="77777777" w:rsidR="00834767" w:rsidRPr="00BE383A" w:rsidRDefault="00326F97" w:rsidP="00BA3230">
            <w:pPr>
              <w:pStyle w:val="Paragraphedeliste"/>
              <w:numPr>
                <w:ilvl w:val="0"/>
                <w:numId w:val="8"/>
              </w:numPr>
              <w:spacing w:line="240" w:lineRule="auto"/>
              <w:rPr>
                <w:rFonts w:eastAsia="Calibri" w:cs="Calibri"/>
                <w:sz w:val="20"/>
                <w:szCs w:val="20"/>
              </w:rPr>
            </w:pPr>
            <w:r w:rsidRPr="00BE383A">
              <w:rPr>
                <w:sz w:val="20"/>
              </w:rPr>
              <w:t>Indicateur 7.1 : Intégrité des élections</w:t>
            </w:r>
          </w:p>
          <w:p w14:paraId="531D3836" w14:textId="77777777" w:rsidR="00834767" w:rsidRPr="00BE383A" w:rsidRDefault="00326F97" w:rsidP="00BA3230">
            <w:pPr>
              <w:pStyle w:val="Paragraphedeliste"/>
              <w:numPr>
                <w:ilvl w:val="0"/>
                <w:numId w:val="8"/>
              </w:numPr>
              <w:spacing w:line="240" w:lineRule="auto"/>
              <w:rPr>
                <w:rFonts w:eastAsia="Calibri" w:cs="Calibri"/>
                <w:sz w:val="24"/>
                <w:szCs w:val="20"/>
              </w:rPr>
            </w:pPr>
            <w:r w:rsidRPr="00BE383A">
              <w:rPr>
                <w:sz w:val="20"/>
              </w:rPr>
              <w:t>Cible 7 : Des parlements représentatifs</w:t>
            </w:r>
          </w:p>
        </w:tc>
      </w:tr>
    </w:tbl>
    <w:p w14:paraId="2CD3DC21" w14:textId="77777777" w:rsidR="00834767" w:rsidRPr="00BE383A" w:rsidRDefault="00326F97" w:rsidP="0000157D">
      <w:pPr>
        <w:pStyle w:val="section-title"/>
      </w:pPr>
      <w:r w:rsidRPr="00BE383A">
        <w:t>À propos de l'aspect</w:t>
      </w:r>
    </w:p>
    <w:p w14:paraId="56B0B31B" w14:textId="77777777" w:rsidR="00834767" w:rsidRPr="00BE383A" w:rsidRDefault="00326F97" w:rsidP="001545ED">
      <w:pPr>
        <w:spacing w:line="240" w:lineRule="auto"/>
        <w:rPr>
          <w:sz w:val="20"/>
        </w:rPr>
      </w:pPr>
      <w:r w:rsidRPr="00BE383A">
        <w:rPr>
          <w:sz w:val="20"/>
        </w:rPr>
        <w:t xml:space="preserve">Cet aspect concerne la gestion des élections par les pouvoirs publics, qui devrait être impartiale, transparente et indépendante. Les pouvoirs publics devraient respecter leur obligation de neutralité lors du processus électoral et garantir aux électeurs le droit à se forger leur propre opinion. </w:t>
      </w:r>
    </w:p>
    <w:p w14:paraId="53D3F9D6" w14:textId="77777777" w:rsidR="00834767" w:rsidRPr="00BE383A" w:rsidRDefault="00834767" w:rsidP="001545ED">
      <w:pPr>
        <w:spacing w:line="240" w:lineRule="auto"/>
        <w:rPr>
          <w:sz w:val="20"/>
        </w:rPr>
      </w:pPr>
    </w:p>
    <w:p w14:paraId="06245738" w14:textId="47A54BE9" w:rsidR="00834767" w:rsidRPr="00BE383A" w:rsidRDefault="00326F97" w:rsidP="0033135F">
      <w:pPr>
        <w:spacing w:line="240" w:lineRule="auto"/>
        <w:rPr>
          <w:sz w:val="20"/>
        </w:rPr>
      </w:pPr>
      <w:r w:rsidRPr="00BE383A">
        <w:rPr>
          <w:sz w:val="20"/>
        </w:rPr>
        <w:t>Les élections devraient être administrées de façon transparente, impartiale, ouverte et responsable par un organe de gestion des élections indépendant. La composition de l'organe de gestion des élections, l</w:t>
      </w:r>
      <w:r w:rsidR="004B2AFE" w:rsidRPr="00BE383A">
        <w:rPr>
          <w:sz w:val="20"/>
        </w:rPr>
        <w:t xml:space="preserve">a </w:t>
      </w:r>
      <w:r w:rsidRPr="00BE383A">
        <w:rPr>
          <w:sz w:val="20"/>
        </w:rPr>
        <w:t xml:space="preserve">procédure </w:t>
      </w:r>
      <w:r w:rsidR="004B2AFE" w:rsidRPr="00BE383A">
        <w:rPr>
          <w:sz w:val="20"/>
        </w:rPr>
        <w:t>de</w:t>
      </w:r>
      <w:r w:rsidRPr="00BE383A">
        <w:rPr>
          <w:sz w:val="20"/>
        </w:rPr>
        <w:t xml:space="preserve"> désignation et </w:t>
      </w:r>
      <w:r w:rsidR="004B2AFE" w:rsidRPr="00BE383A">
        <w:rPr>
          <w:sz w:val="20"/>
        </w:rPr>
        <w:t>de</w:t>
      </w:r>
      <w:r w:rsidRPr="00BE383A">
        <w:rPr>
          <w:sz w:val="20"/>
        </w:rPr>
        <w:t xml:space="preserve"> révocation des responsables de ces institutions, leurs devoirs et leurs obligations, ainsi que la garantie que le processus électoral est mené de façon indépendante et impartiale devraient être établis et protégés par la loi.</w:t>
      </w:r>
    </w:p>
    <w:p w14:paraId="3B32B5F8" w14:textId="77777777" w:rsidR="00834767" w:rsidRPr="00BE383A" w:rsidRDefault="00834767" w:rsidP="0033135F">
      <w:pPr>
        <w:spacing w:line="240" w:lineRule="auto"/>
        <w:rPr>
          <w:sz w:val="20"/>
        </w:rPr>
      </w:pPr>
    </w:p>
    <w:p w14:paraId="237BAE88" w14:textId="77777777" w:rsidR="00834767" w:rsidRPr="00BE383A" w:rsidRDefault="00326F97" w:rsidP="00684C9A">
      <w:pPr>
        <w:spacing w:line="240" w:lineRule="auto"/>
        <w:rPr>
          <w:sz w:val="20"/>
        </w:rPr>
      </w:pPr>
      <w:r w:rsidRPr="00BE383A">
        <w:rPr>
          <w:sz w:val="20"/>
        </w:rPr>
        <w:t xml:space="preserve">Les pouvoirs publics devraient veiller à ce que les citoyens comprennent le processus électoral et à ce que l'information relative aux élections et aux candidats soit facilement accessible. </w:t>
      </w:r>
    </w:p>
    <w:p w14:paraId="5AE35D2A" w14:textId="77777777" w:rsidR="00834767" w:rsidRPr="00BE383A" w:rsidRDefault="00834767" w:rsidP="001545ED">
      <w:pPr>
        <w:rPr>
          <w:sz w:val="20"/>
          <w:szCs w:val="20"/>
        </w:rPr>
      </w:pPr>
    </w:p>
    <w:p w14:paraId="4CA794C5" w14:textId="77777777" w:rsidR="0000157D" w:rsidRDefault="00326F97" w:rsidP="001545ED">
      <w:pPr>
        <w:rPr>
          <w:i/>
        </w:rPr>
      </w:pPr>
      <w:r w:rsidRPr="00BE383A">
        <w:rPr>
          <w:sz w:val="20"/>
          <w:szCs w:val="20"/>
        </w:rPr>
        <w:t>Voir également l'</w:t>
      </w:r>
      <w:r w:rsidRPr="00BE383A">
        <w:rPr>
          <w:i/>
          <w:sz w:val="20"/>
          <w:szCs w:val="20"/>
        </w:rPr>
        <w:t xml:space="preserve">aspect 7.2.1 : Représentation de la diversité </w:t>
      </w:r>
      <w:r w:rsidR="000F4EE7">
        <w:rPr>
          <w:i/>
          <w:sz w:val="20"/>
          <w:szCs w:val="20"/>
        </w:rPr>
        <w:t>politique</w:t>
      </w:r>
      <w:r w:rsidRPr="00BE383A">
        <w:rPr>
          <w:i/>
        </w:rPr>
        <w:t>.</w:t>
      </w:r>
    </w:p>
    <w:p w14:paraId="644E1FA4" w14:textId="61C775D3" w:rsidR="00834767" w:rsidRPr="0000157D" w:rsidRDefault="00326F97" w:rsidP="0000157D">
      <w:pPr>
        <w:pStyle w:val="section-title"/>
        <w:rPr>
          <w:color w:val="005F9A"/>
        </w:rPr>
      </w:pPr>
      <w:r w:rsidRPr="00BE383A">
        <w:rPr>
          <w:rStyle w:val="section-titleChar"/>
        </w:rPr>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CellMar>
          <w:left w:w="115" w:type="dxa"/>
          <w:right w:w="115" w:type="dxa"/>
        </w:tblCellMar>
        <w:tblLook w:val="0400" w:firstRow="0" w:lastRow="0" w:firstColumn="0" w:lastColumn="0" w:noHBand="0" w:noVBand="1"/>
      </w:tblPr>
      <w:tblGrid>
        <w:gridCol w:w="9120"/>
      </w:tblGrid>
      <w:tr w:rsidR="00F30DB7" w:rsidRPr="00BE383A" w14:paraId="6C8D8D2B" w14:textId="77777777" w:rsidTr="0000157D">
        <w:trPr>
          <w:trHeight w:val="3629"/>
        </w:trPr>
        <w:tc>
          <w:tcPr>
            <w:tcW w:w="5000"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2420B37E" w14:textId="77777777" w:rsidR="00834767" w:rsidRPr="00BE383A" w:rsidRDefault="00326F97" w:rsidP="00BA3230">
            <w:pPr>
              <w:spacing w:line="240" w:lineRule="auto"/>
              <w:rPr>
                <w:i/>
                <w:sz w:val="20"/>
                <w:szCs w:val="20"/>
              </w:rPr>
            </w:pPr>
            <w:r w:rsidRPr="00BE383A">
              <w:rPr>
                <w:i/>
                <w:sz w:val="20"/>
              </w:rPr>
              <w:t>Après une analyse comparative, les parlements pourraient par exemple viser les objectifs suivants en ce qui concerne le rôle des pouvoirs publics dans les élections :</w:t>
            </w:r>
          </w:p>
          <w:p w14:paraId="1592A53E" w14:textId="77777777" w:rsidR="00834767" w:rsidRPr="00BE383A" w:rsidRDefault="00834767" w:rsidP="00BA3230">
            <w:pPr>
              <w:spacing w:line="240" w:lineRule="auto"/>
              <w:rPr>
                <w:sz w:val="20"/>
                <w:szCs w:val="20"/>
              </w:rPr>
            </w:pPr>
          </w:p>
          <w:p w14:paraId="35DA0567" w14:textId="759A9D31" w:rsidR="00834767" w:rsidRPr="00BE383A" w:rsidRDefault="00326F97" w:rsidP="00BA3230">
            <w:pPr>
              <w:spacing w:line="240" w:lineRule="auto"/>
              <w:rPr>
                <w:sz w:val="20"/>
                <w:szCs w:val="20"/>
              </w:rPr>
            </w:pPr>
            <w:r w:rsidRPr="00BE383A">
              <w:rPr>
                <w:sz w:val="20"/>
              </w:rPr>
              <w:t xml:space="preserve">Les pouvoirs publics respectent leur obligation de neutralité </w:t>
            </w:r>
            <w:r w:rsidR="004E32F5" w:rsidRPr="00BE383A">
              <w:rPr>
                <w:sz w:val="20"/>
              </w:rPr>
              <w:t xml:space="preserve">dans le </w:t>
            </w:r>
            <w:r w:rsidRPr="00BE383A">
              <w:rPr>
                <w:sz w:val="20"/>
              </w:rPr>
              <w:t xml:space="preserve">processus électoral et garantissent aux électeurs le droit de se forger leur propre opinion. </w:t>
            </w:r>
          </w:p>
          <w:p w14:paraId="080E1E02" w14:textId="77777777" w:rsidR="00834767" w:rsidRPr="00BE383A" w:rsidRDefault="00834767" w:rsidP="00BA3230">
            <w:pPr>
              <w:spacing w:line="240" w:lineRule="auto"/>
              <w:rPr>
                <w:sz w:val="20"/>
                <w:szCs w:val="20"/>
              </w:rPr>
            </w:pPr>
          </w:p>
          <w:p w14:paraId="20A1E12F" w14:textId="40FA96B5" w:rsidR="00834767" w:rsidRPr="00BE383A" w:rsidRDefault="00326F97" w:rsidP="00BA3230">
            <w:pPr>
              <w:spacing w:line="240" w:lineRule="auto"/>
              <w:rPr>
                <w:sz w:val="20"/>
              </w:rPr>
            </w:pPr>
            <w:r w:rsidRPr="00BE383A">
              <w:rPr>
                <w:sz w:val="20"/>
              </w:rPr>
              <w:t xml:space="preserve">Un organe de gestion des élections est chargé de garantir le bon déroulement du processus électoral. Cet organe, qui applique des règles clairement définies et publiquement accessibles, décide et agit en toute indépendance. L'organe de gestion des élections </w:t>
            </w:r>
            <w:r w:rsidR="004E32F5" w:rsidRPr="00BE383A">
              <w:rPr>
                <w:sz w:val="20"/>
              </w:rPr>
              <w:t xml:space="preserve">s’acquitte de ses fonctions </w:t>
            </w:r>
            <w:r w:rsidRPr="00BE383A">
              <w:rPr>
                <w:sz w:val="20"/>
              </w:rPr>
              <w:t>de façon impartiale et transparente, ce qui lui vaut la confiance et le respect de la société.</w:t>
            </w:r>
          </w:p>
          <w:p w14:paraId="7D489339" w14:textId="77777777" w:rsidR="00834767" w:rsidRPr="00BE383A" w:rsidRDefault="00834767" w:rsidP="00BA3230">
            <w:pPr>
              <w:spacing w:line="240" w:lineRule="auto"/>
              <w:rPr>
                <w:sz w:val="20"/>
              </w:rPr>
            </w:pPr>
          </w:p>
          <w:p w14:paraId="6444F907" w14:textId="77777777" w:rsidR="00834767" w:rsidRPr="00BE383A" w:rsidRDefault="00326F97" w:rsidP="00BA3230">
            <w:pPr>
              <w:spacing w:line="240" w:lineRule="auto"/>
              <w:rPr>
                <w:sz w:val="20"/>
                <w:szCs w:val="20"/>
              </w:rPr>
            </w:pPr>
            <w:r w:rsidRPr="00BE383A">
              <w:rPr>
                <w:sz w:val="20"/>
              </w:rPr>
              <w:t>L'information relative au processus électoral est facilement accessible, notamment dans le cadre de programmes d'éducation civique. Les pouvoirs publics veillent à ce que les électeurs connaissent la procédure électorale et aient accès aux listes de candidats et à l'information les concernant. L'information est disponible dans les langues couramment parlées dans le pays.</w:t>
            </w:r>
          </w:p>
          <w:p w14:paraId="45125D2E" w14:textId="77777777" w:rsidR="00834767" w:rsidRPr="00BE383A" w:rsidRDefault="00834767" w:rsidP="00BA3230">
            <w:pPr>
              <w:spacing w:line="240" w:lineRule="auto"/>
              <w:rPr>
                <w:sz w:val="20"/>
                <w:szCs w:val="20"/>
              </w:rPr>
            </w:pPr>
          </w:p>
        </w:tc>
      </w:tr>
    </w:tbl>
    <w:p w14:paraId="3FDB1975" w14:textId="77777777" w:rsidR="00834767" w:rsidRPr="00BE383A" w:rsidRDefault="00326F97" w:rsidP="0000157D">
      <w:pPr>
        <w:pStyle w:val="section-title"/>
      </w:pPr>
      <w:r w:rsidRPr="00BE383A">
        <w:t>Évaluation</w:t>
      </w:r>
    </w:p>
    <w:p w14:paraId="536C686E" w14:textId="77777777" w:rsidR="00834767" w:rsidRPr="00BE383A" w:rsidRDefault="00326F97" w:rsidP="001545ED">
      <w:pPr>
        <w:spacing w:before="200" w:line="240" w:lineRule="auto"/>
        <w:rPr>
          <w:sz w:val="20"/>
          <w:szCs w:val="20"/>
        </w:rPr>
      </w:pPr>
      <w:r w:rsidRPr="00BE383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00EF3661" w14:textId="77777777" w:rsidR="00834767" w:rsidRPr="00BE383A" w:rsidRDefault="00326F97" w:rsidP="001545ED">
      <w:pPr>
        <w:spacing w:before="200" w:line="240" w:lineRule="auto"/>
        <w:rPr>
          <w:sz w:val="20"/>
          <w:szCs w:val="20"/>
        </w:rPr>
      </w:pPr>
      <w:r w:rsidRPr="00BE383A">
        <w:rPr>
          <w:sz w:val="20"/>
        </w:rPr>
        <w:t>Exemples d'éléments permettant d'étayer l'évaluation :</w:t>
      </w:r>
    </w:p>
    <w:p w14:paraId="7405E8B9" w14:textId="77777777" w:rsidR="00834767" w:rsidRPr="00BE383A" w:rsidRDefault="00834767" w:rsidP="00AD2D85">
      <w:pPr>
        <w:spacing w:line="240" w:lineRule="auto"/>
        <w:rPr>
          <w:sz w:val="20"/>
          <w:szCs w:val="20"/>
        </w:rPr>
      </w:pPr>
    </w:p>
    <w:p w14:paraId="21BDF7F9" w14:textId="77777777" w:rsidR="00834767" w:rsidRPr="00BE383A" w:rsidRDefault="00326F97" w:rsidP="00AD2D85">
      <w:pPr>
        <w:numPr>
          <w:ilvl w:val="0"/>
          <w:numId w:val="2"/>
        </w:numPr>
        <w:spacing w:line="240" w:lineRule="auto"/>
        <w:ind w:left="562" w:hanging="562"/>
        <w:rPr>
          <w:sz w:val="20"/>
          <w:szCs w:val="20"/>
        </w:rPr>
      </w:pPr>
      <w:r w:rsidRPr="00BE383A">
        <w:rPr>
          <w:sz w:val="20"/>
        </w:rPr>
        <w:t>Dispositions du cadre juridique relatives à la tenue des listes électorales</w:t>
      </w:r>
    </w:p>
    <w:p w14:paraId="0FDEC6BB" w14:textId="27D8FF40" w:rsidR="00834767" w:rsidRPr="00BE383A" w:rsidRDefault="00326F97" w:rsidP="00AD2D85">
      <w:pPr>
        <w:numPr>
          <w:ilvl w:val="0"/>
          <w:numId w:val="2"/>
        </w:numPr>
        <w:spacing w:line="240" w:lineRule="auto"/>
        <w:ind w:left="562" w:hanging="562"/>
        <w:rPr>
          <w:sz w:val="20"/>
          <w:szCs w:val="20"/>
        </w:rPr>
      </w:pPr>
      <w:r w:rsidRPr="00BE383A">
        <w:rPr>
          <w:sz w:val="20"/>
        </w:rPr>
        <w:t xml:space="preserve">Dispositions du cadre juridique chargeant les pouvoirs publics de proposer des programmes d'éducation civique et d'information </w:t>
      </w:r>
      <w:r w:rsidR="00930F7A">
        <w:rPr>
          <w:sz w:val="20"/>
        </w:rPr>
        <w:t xml:space="preserve">traitant du </w:t>
      </w:r>
      <w:r w:rsidRPr="00BE383A">
        <w:rPr>
          <w:sz w:val="20"/>
        </w:rPr>
        <w:t>processus électoral</w:t>
      </w:r>
    </w:p>
    <w:p w14:paraId="707A9B0B" w14:textId="59833CA8" w:rsidR="00834767" w:rsidRPr="00BE383A" w:rsidRDefault="00326F97" w:rsidP="00AD2D85">
      <w:pPr>
        <w:numPr>
          <w:ilvl w:val="0"/>
          <w:numId w:val="2"/>
        </w:numPr>
        <w:spacing w:line="240" w:lineRule="auto"/>
        <w:ind w:left="562" w:hanging="562"/>
        <w:rPr>
          <w:sz w:val="20"/>
          <w:szCs w:val="20"/>
        </w:rPr>
      </w:pPr>
      <w:r w:rsidRPr="00BE383A">
        <w:rPr>
          <w:sz w:val="20"/>
        </w:rPr>
        <w:t xml:space="preserve">Précisions concernant les compétences légales de l'organe de gestion des élections et les règles </w:t>
      </w:r>
      <w:r w:rsidR="004E32F5" w:rsidRPr="00BE383A">
        <w:rPr>
          <w:sz w:val="20"/>
        </w:rPr>
        <w:t>auxquelles il est soumis</w:t>
      </w:r>
    </w:p>
    <w:p w14:paraId="2A9AEE28" w14:textId="77777777" w:rsidR="00834767" w:rsidRPr="00BE383A" w:rsidRDefault="00326F97" w:rsidP="00AD2D85">
      <w:pPr>
        <w:numPr>
          <w:ilvl w:val="0"/>
          <w:numId w:val="2"/>
        </w:numPr>
        <w:spacing w:line="240" w:lineRule="auto"/>
        <w:ind w:left="562" w:hanging="562"/>
        <w:rPr>
          <w:sz w:val="20"/>
          <w:szCs w:val="20"/>
        </w:rPr>
      </w:pPr>
      <w:r w:rsidRPr="00BE383A">
        <w:rPr>
          <w:sz w:val="20"/>
        </w:rPr>
        <w:t>Documents émanant des observateurs des élections</w:t>
      </w:r>
    </w:p>
    <w:p w14:paraId="14AF436F" w14:textId="77777777" w:rsidR="00834767" w:rsidRPr="00BE383A" w:rsidRDefault="00326F97" w:rsidP="00AD2D85">
      <w:pPr>
        <w:numPr>
          <w:ilvl w:val="0"/>
          <w:numId w:val="2"/>
        </w:numPr>
        <w:spacing w:line="240" w:lineRule="auto"/>
        <w:ind w:left="562" w:hanging="562"/>
        <w:rPr>
          <w:sz w:val="20"/>
          <w:szCs w:val="20"/>
        </w:rPr>
      </w:pPr>
      <w:r w:rsidRPr="00930F7A">
        <w:rPr>
          <w:sz w:val="20"/>
        </w:rPr>
        <w:t>Documents et couverture</w:t>
      </w:r>
      <w:r w:rsidRPr="00BE383A">
        <w:rPr>
          <w:sz w:val="20"/>
        </w:rPr>
        <w:t xml:space="preserve"> médiatique décrivant la situation sur le terrain</w:t>
      </w:r>
    </w:p>
    <w:p w14:paraId="22BAB711" w14:textId="77777777" w:rsidR="00834767" w:rsidRPr="00BE383A" w:rsidRDefault="00834767" w:rsidP="001545ED">
      <w:pPr>
        <w:spacing w:line="240" w:lineRule="auto"/>
        <w:rPr>
          <w:sz w:val="20"/>
          <w:szCs w:val="20"/>
        </w:rPr>
      </w:pPr>
    </w:p>
    <w:p w14:paraId="700DD46D" w14:textId="77777777" w:rsidR="00834767" w:rsidRPr="00BE383A" w:rsidRDefault="00326F97" w:rsidP="001545ED">
      <w:pPr>
        <w:spacing w:line="240" w:lineRule="auto"/>
        <w:rPr>
          <w:sz w:val="20"/>
          <w:szCs w:val="20"/>
        </w:rPr>
      </w:pPr>
      <w:r w:rsidRPr="00BE383A">
        <w:rPr>
          <w:sz w:val="20"/>
        </w:rPr>
        <w:t>Le cas échéant, merci de bien vouloir communiquer des observations ou exemples supplémentaires pour étayer l'évaluation.</w:t>
      </w:r>
    </w:p>
    <w:p w14:paraId="5D9B3DDA" w14:textId="77777777" w:rsidR="00834767" w:rsidRPr="00BE383A" w:rsidRDefault="00834767" w:rsidP="001545ED">
      <w:pPr>
        <w:spacing w:line="240" w:lineRule="auto"/>
        <w:rPr>
          <w:sz w:val="20"/>
          <w:szCs w:val="20"/>
        </w:rPr>
      </w:pPr>
    </w:p>
    <w:p w14:paraId="27A0AF89" w14:textId="77777777" w:rsidR="00834767" w:rsidRPr="00BE383A" w:rsidRDefault="00326F97" w:rsidP="00BE3512">
      <w:pPr>
        <w:pStyle w:val="Titre4"/>
      </w:pPr>
      <w:bookmarkStart w:id="12" w:name="_wb5lpaos5x23"/>
      <w:bookmarkEnd w:id="12"/>
      <w:r w:rsidRPr="00BE383A">
        <w:t xml:space="preserve">Critère d'évaluation n° 1 : Neutralité des pouvoirs publics </w:t>
      </w:r>
    </w:p>
    <w:p w14:paraId="5A7ADE5B" w14:textId="77777777" w:rsidR="00834767" w:rsidRPr="00BE383A" w:rsidRDefault="00326F97" w:rsidP="00AD6B61">
      <w:pPr>
        <w:spacing w:line="240" w:lineRule="auto"/>
        <w:rPr>
          <w:sz w:val="20"/>
          <w:szCs w:val="20"/>
        </w:rPr>
      </w:pPr>
      <w:r w:rsidRPr="00BE383A">
        <w:rPr>
          <w:sz w:val="20"/>
        </w:rPr>
        <w:t xml:space="preserve">Le cadre juridique garantit l'intégrité et la transparence du processus électoral dans son intégralité, y compris en sanctionnant la fraude électorale. La neutralité des pouvoirs publics dans le processus électoral est garantie par la loi et se vérifie dans la pratique. </w:t>
      </w:r>
    </w:p>
    <w:p w14:paraId="36B11CC1" w14:textId="77777777" w:rsidR="00834767" w:rsidRPr="00BE383A" w:rsidRDefault="00834767" w:rsidP="00AD6B6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6B61" w:rsidRPr="00BE383A" w14:paraId="71097985"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A8EDD5" w14:textId="77777777" w:rsidR="00834767" w:rsidRPr="00BE383A" w:rsidRDefault="00326F97">
            <w:pPr>
              <w:jc w:val="center"/>
              <w:rPr>
                <w:rFonts w:eastAsia="Calibri"/>
                <w:sz w:val="20"/>
                <w:szCs w:val="20"/>
              </w:rPr>
            </w:pPr>
            <w:r w:rsidRPr="00BE383A">
              <w:rPr>
                <w:sz w:val="20"/>
              </w:rPr>
              <w:t>Néant</w:t>
            </w:r>
          </w:p>
          <w:p w14:paraId="42B8D66D"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06E977" w14:textId="77777777" w:rsidR="00834767" w:rsidRPr="00BE383A" w:rsidRDefault="00326F97">
            <w:pPr>
              <w:jc w:val="center"/>
              <w:rPr>
                <w:rFonts w:eastAsia="Calibri"/>
                <w:sz w:val="20"/>
                <w:szCs w:val="20"/>
              </w:rPr>
            </w:pPr>
            <w:r w:rsidRPr="00BE383A">
              <w:rPr>
                <w:sz w:val="20"/>
              </w:rPr>
              <w:t xml:space="preserve">Médiocre </w:t>
            </w:r>
          </w:p>
          <w:p w14:paraId="4C375A37"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8CBD9C" w14:textId="77777777" w:rsidR="00834767" w:rsidRPr="00BE383A" w:rsidRDefault="00326F97">
            <w:pPr>
              <w:jc w:val="center"/>
              <w:rPr>
                <w:rFonts w:eastAsia="Calibri"/>
                <w:sz w:val="20"/>
                <w:szCs w:val="20"/>
              </w:rPr>
            </w:pPr>
            <w:r w:rsidRPr="00BE383A">
              <w:rPr>
                <w:sz w:val="20"/>
              </w:rPr>
              <w:t>Moyen</w:t>
            </w:r>
          </w:p>
          <w:p w14:paraId="6C52C40A"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37A095" w14:textId="77777777" w:rsidR="00834767" w:rsidRPr="00BE383A" w:rsidRDefault="00326F97">
            <w:pPr>
              <w:jc w:val="center"/>
              <w:rPr>
                <w:rFonts w:eastAsia="Calibri"/>
                <w:sz w:val="20"/>
                <w:szCs w:val="20"/>
              </w:rPr>
            </w:pPr>
            <w:r w:rsidRPr="00BE383A">
              <w:rPr>
                <w:sz w:val="20"/>
              </w:rPr>
              <w:t>Bon</w:t>
            </w:r>
          </w:p>
          <w:p w14:paraId="771842BA"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C4C829" w14:textId="77777777" w:rsidR="00834767" w:rsidRPr="00BE383A" w:rsidRDefault="00326F97">
            <w:pPr>
              <w:jc w:val="center"/>
              <w:rPr>
                <w:rFonts w:eastAsia="Calibri"/>
                <w:sz w:val="20"/>
                <w:szCs w:val="20"/>
              </w:rPr>
            </w:pPr>
            <w:r w:rsidRPr="00BE383A">
              <w:rPr>
                <w:sz w:val="20"/>
              </w:rPr>
              <w:t>Très bon</w:t>
            </w:r>
          </w:p>
          <w:p w14:paraId="303FD0FF"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B41831B" w14:textId="77777777" w:rsidR="00834767" w:rsidRPr="00BE383A" w:rsidRDefault="00326F97">
            <w:pPr>
              <w:jc w:val="center"/>
              <w:rPr>
                <w:rFonts w:eastAsia="Calibri"/>
                <w:sz w:val="20"/>
                <w:szCs w:val="20"/>
              </w:rPr>
            </w:pPr>
            <w:r w:rsidRPr="00BE383A">
              <w:rPr>
                <w:sz w:val="20"/>
              </w:rPr>
              <w:t>Excellent</w:t>
            </w:r>
          </w:p>
          <w:p w14:paraId="3B4F6CB0"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r>
      <w:tr w:rsidR="00AD6B61" w:rsidRPr="00BE383A" w14:paraId="473A979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7DE80" w14:textId="77777777" w:rsidR="00834767" w:rsidRPr="00BE383A" w:rsidRDefault="00326F97">
            <w:pPr>
              <w:rPr>
                <w:rFonts w:eastAsia="Calibri"/>
                <w:color w:val="005F9A"/>
                <w:sz w:val="20"/>
                <w:szCs w:val="20"/>
              </w:rPr>
            </w:pPr>
            <w:r w:rsidRPr="00BE383A">
              <w:rPr>
                <w:color w:val="005F9A"/>
                <w:sz w:val="20"/>
              </w:rPr>
              <w:t>Éléments à l'appui de l'évaluation :</w:t>
            </w:r>
          </w:p>
          <w:p w14:paraId="5E6F9FA7" w14:textId="77777777" w:rsidR="00834767" w:rsidRPr="00BE383A" w:rsidRDefault="00834767">
            <w:pPr>
              <w:rPr>
                <w:rFonts w:eastAsia="Calibri"/>
                <w:color w:val="0000FF"/>
                <w:sz w:val="20"/>
                <w:szCs w:val="20"/>
              </w:rPr>
            </w:pPr>
          </w:p>
          <w:p w14:paraId="7B4CAA9F" w14:textId="77777777" w:rsidR="00834767" w:rsidRPr="00BE383A" w:rsidRDefault="00834767">
            <w:pPr>
              <w:rPr>
                <w:rFonts w:eastAsia="Calibri"/>
                <w:color w:val="0000FF"/>
                <w:sz w:val="20"/>
                <w:szCs w:val="20"/>
              </w:rPr>
            </w:pPr>
          </w:p>
        </w:tc>
      </w:tr>
    </w:tbl>
    <w:p w14:paraId="2DD733A2" w14:textId="77777777" w:rsidR="00834767" w:rsidRPr="00BE383A" w:rsidRDefault="00834767" w:rsidP="00AD6B61">
      <w:pPr>
        <w:spacing w:line="240" w:lineRule="auto"/>
        <w:rPr>
          <w:sz w:val="20"/>
          <w:szCs w:val="20"/>
        </w:rPr>
      </w:pPr>
    </w:p>
    <w:p w14:paraId="33E4A046" w14:textId="77777777" w:rsidR="00834767" w:rsidRPr="00BE383A" w:rsidRDefault="00326F97" w:rsidP="00BE3512">
      <w:pPr>
        <w:pStyle w:val="Titre4"/>
      </w:pPr>
      <w:r w:rsidRPr="00BE383A">
        <w:t xml:space="preserve">Critère d'évaluation n° 2 : Organe de gestion des élections </w:t>
      </w:r>
    </w:p>
    <w:p w14:paraId="64E56FC6" w14:textId="778909BE" w:rsidR="00834767" w:rsidRPr="00BE383A" w:rsidRDefault="00326F97" w:rsidP="00684C9A">
      <w:pPr>
        <w:spacing w:line="240" w:lineRule="auto"/>
        <w:rPr>
          <w:sz w:val="20"/>
        </w:rPr>
      </w:pPr>
      <w:r w:rsidRPr="00BE383A">
        <w:rPr>
          <w:sz w:val="20"/>
        </w:rPr>
        <w:t xml:space="preserve">Un organe de gestion des élections est chargé de garantir le bon déroulement du processus électoral. Cet organe, qui applique des règles clairement définies et publiquement accessibles, décide et agit en toute indépendance. L'organe de gestion des élections </w:t>
      </w:r>
      <w:r w:rsidR="004E32F5" w:rsidRPr="00BE383A">
        <w:rPr>
          <w:sz w:val="20"/>
        </w:rPr>
        <w:t xml:space="preserve">s’acquitte de ses fonctions de façon </w:t>
      </w:r>
      <w:r w:rsidRPr="00BE383A">
        <w:rPr>
          <w:sz w:val="20"/>
        </w:rPr>
        <w:t>impartiale et transparente, ce qui lui vaut la confiance et le respect de la société.</w:t>
      </w:r>
    </w:p>
    <w:p w14:paraId="50FDF0AC" w14:textId="77777777" w:rsidR="00834767" w:rsidRPr="00BE383A" w:rsidRDefault="0083476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D85" w:rsidRPr="00BE383A" w14:paraId="255C844B" w14:textId="77777777" w:rsidTr="00AD2D8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06C5FC" w14:textId="77777777" w:rsidR="00834767" w:rsidRPr="00BE383A" w:rsidRDefault="00326F97">
            <w:pPr>
              <w:jc w:val="center"/>
              <w:rPr>
                <w:rFonts w:eastAsia="Calibri"/>
                <w:sz w:val="20"/>
                <w:szCs w:val="20"/>
              </w:rPr>
            </w:pPr>
            <w:r w:rsidRPr="00BE383A">
              <w:rPr>
                <w:sz w:val="20"/>
              </w:rPr>
              <w:t>Néant</w:t>
            </w:r>
          </w:p>
          <w:p w14:paraId="53E623AC"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F35021" w14:textId="77777777" w:rsidR="00834767" w:rsidRPr="00BE383A" w:rsidRDefault="00326F97">
            <w:pPr>
              <w:jc w:val="center"/>
              <w:rPr>
                <w:rFonts w:eastAsia="Calibri"/>
                <w:sz w:val="20"/>
                <w:szCs w:val="20"/>
              </w:rPr>
            </w:pPr>
            <w:r w:rsidRPr="00BE383A">
              <w:rPr>
                <w:sz w:val="20"/>
              </w:rPr>
              <w:t xml:space="preserve">Médiocre </w:t>
            </w:r>
          </w:p>
          <w:p w14:paraId="1755E93E"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E1AE8A" w14:textId="77777777" w:rsidR="00834767" w:rsidRPr="00BE383A" w:rsidRDefault="00326F97">
            <w:pPr>
              <w:jc w:val="center"/>
              <w:rPr>
                <w:rFonts w:eastAsia="Calibri"/>
                <w:sz w:val="20"/>
                <w:szCs w:val="20"/>
              </w:rPr>
            </w:pPr>
            <w:r w:rsidRPr="00BE383A">
              <w:rPr>
                <w:sz w:val="20"/>
              </w:rPr>
              <w:t>Moyen</w:t>
            </w:r>
          </w:p>
          <w:p w14:paraId="4DF1B4C1"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B03B09" w14:textId="77777777" w:rsidR="00834767" w:rsidRPr="00BE383A" w:rsidRDefault="00326F97">
            <w:pPr>
              <w:jc w:val="center"/>
              <w:rPr>
                <w:rFonts w:eastAsia="Calibri"/>
                <w:sz w:val="20"/>
                <w:szCs w:val="20"/>
              </w:rPr>
            </w:pPr>
            <w:r w:rsidRPr="00BE383A">
              <w:rPr>
                <w:sz w:val="20"/>
              </w:rPr>
              <w:t>Bon</w:t>
            </w:r>
          </w:p>
          <w:p w14:paraId="1FD5A9D4"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E0F085" w14:textId="77777777" w:rsidR="00834767" w:rsidRPr="00BE383A" w:rsidRDefault="00326F97">
            <w:pPr>
              <w:jc w:val="center"/>
              <w:rPr>
                <w:rFonts w:eastAsia="Calibri"/>
                <w:sz w:val="20"/>
                <w:szCs w:val="20"/>
              </w:rPr>
            </w:pPr>
            <w:r w:rsidRPr="00BE383A">
              <w:rPr>
                <w:sz w:val="20"/>
              </w:rPr>
              <w:t>Très bon</w:t>
            </w:r>
          </w:p>
          <w:p w14:paraId="6A781B98"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CC78B09" w14:textId="77777777" w:rsidR="00834767" w:rsidRPr="00BE383A" w:rsidRDefault="00326F97">
            <w:pPr>
              <w:jc w:val="center"/>
              <w:rPr>
                <w:rFonts w:eastAsia="Calibri"/>
                <w:sz w:val="20"/>
                <w:szCs w:val="20"/>
              </w:rPr>
            </w:pPr>
            <w:r w:rsidRPr="00BE383A">
              <w:rPr>
                <w:sz w:val="20"/>
              </w:rPr>
              <w:t>Excellent</w:t>
            </w:r>
          </w:p>
          <w:p w14:paraId="2E2D9291"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r>
      <w:tr w:rsidR="00AD2D85" w:rsidRPr="00BE383A" w14:paraId="47526151" w14:textId="77777777" w:rsidTr="00AD2D8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BECE3" w14:textId="77777777" w:rsidR="00834767" w:rsidRPr="00BE383A" w:rsidRDefault="00326F97">
            <w:pPr>
              <w:rPr>
                <w:rFonts w:eastAsia="Calibri"/>
                <w:color w:val="005F9A"/>
                <w:sz w:val="20"/>
                <w:szCs w:val="20"/>
              </w:rPr>
            </w:pPr>
            <w:r w:rsidRPr="00BE383A">
              <w:rPr>
                <w:color w:val="005F9A"/>
                <w:sz w:val="20"/>
              </w:rPr>
              <w:t>Éléments à l'appui de l'évaluation :</w:t>
            </w:r>
          </w:p>
          <w:p w14:paraId="20CBB0C9" w14:textId="77777777" w:rsidR="00834767" w:rsidRPr="00BE383A" w:rsidRDefault="00834767">
            <w:pPr>
              <w:rPr>
                <w:rFonts w:eastAsia="Calibri"/>
                <w:color w:val="0000FF"/>
                <w:sz w:val="20"/>
                <w:szCs w:val="20"/>
              </w:rPr>
            </w:pPr>
          </w:p>
          <w:p w14:paraId="4149CD36" w14:textId="77777777" w:rsidR="00834767" w:rsidRPr="00BE383A" w:rsidRDefault="00834767">
            <w:pPr>
              <w:rPr>
                <w:rFonts w:eastAsia="Calibri"/>
                <w:color w:val="0000FF"/>
                <w:sz w:val="20"/>
                <w:szCs w:val="20"/>
              </w:rPr>
            </w:pPr>
          </w:p>
        </w:tc>
      </w:tr>
    </w:tbl>
    <w:p w14:paraId="3E6C2BF4" w14:textId="77777777" w:rsidR="00834767" w:rsidRPr="00BE383A" w:rsidRDefault="00326F97" w:rsidP="00BE3512">
      <w:pPr>
        <w:pStyle w:val="Titre4"/>
      </w:pPr>
      <w:bookmarkStart w:id="13" w:name="_nlrjoqxroeqy"/>
      <w:bookmarkStart w:id="14" w:name="_9c0b0gkuea1m"/>
      <w:bookmarkEnd w:id="13"/>
      <w:bookmarkEnd w:id="14"/>
      <w:r w:rsidRPr="00BE383A">
        <w:t>Critère d'évaluation n° 3 : Accès à l'information relative au processus électoral</w:t>
      </w:r>
    </w:p>
    <w:p w14:paraId="56DF0D13" w14:textId="7FDE0B03" w:rsidR="00834767" w:rsidRPr="00BE383A" w:rsidRDefault="00326F97" w:rsidP="001545ED">
      <w:pPr>
        <w:spacing w:line="240" w:lineRule="auto"/>
        <w:rPr>
          <w:sz w:val="20"/>
          <w:szCs w:val="20"/>
        </w:rPr>
      </w:pPr>
      <w:r w:rsidRPr="00BE383A">
        <w:rPr>
          <w:sz w:val="20"/>
        </w:rPr>
        <w:t xml:space="preserve">L'information relative au processus électoral est facilement accessible, notamment dans le cadre de programmes d'éducation civique. Les pouvoirs publics veillent à ce que les électeurs connaissent la procédure électorale et aient accès aux listes de candidats et à l'information </w:t>
      </w:r>
      <w:r w:rsidR="001E3A8C" w:rsidRPr="00BE383A">
        <w:rPr>
          <w:sz w:val="20"/>
        </w:rPr>
        <w:t>les concernant</w:t>
      </w:r>
      <w:r w:rsidRPr="00BE383A">
        <w:rPr>
          <w:sz w:val="20"/>
        </w:rPr>
        <w:t>. L'information est disponible dans les langues couramment parlées dans le pays.</w:t>
      </w:r>
    </w:p>
    <w:p w14:paraId="46057F26" w14:textId="77777777" w:rsidR="00834767" w:rsidRPr="00BE383A" w:rsidRDefault="0083476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D85" w:rsidRPr="00BE383A" w14:paraId="69F6FED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EBA833" w14:textId="77777777" w:rsidR="00834767" w:rsidRPr="00BE383A" w:rsidRDefault="00326F97">
            <w:pPr>
              <w:jc w:val="center"/>
              <w:rPr>
                <w:rFonts w:eastAsia="Calibri"/>
                <w:sz w:val="20"/>
                <w:szCs w:val="20"/>
              </w:rPr>
            </w:pPr>
            <w:r w:rsidRPr="00BE383A">
              <w:rPr>
                <w:sz w:val="20"/>
              </w:rPr>
              <w:t>Néant</w:t>
            </w:r>
          </w:p>
          <w:p w14:paraId="7AA08CBB"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43EAD3" w14:textId="77777777" w:rsidR="00834767" w:rsidRPr="00BE383A" w:rsidRDefault="00326F97">
            <w:pPr>
              <w:jc w:val="center"/>
              <w:rPr>
                <w:rFonts w:eastAsia="Calibri"/>
                <w:sz w:val="20"/>
                <w:szCs w:val="20"/>
              </w:rPr>
            </w:pPr>
            <w:r w:rsidRPr="00BE383A">
              <w:rPr>
                <w:sz w:val="20"/>
              </w:rPr>
              <w:t xml:space="preserve">Médiocre </w:t>
            </w:r>
          </w:p>
          <w:p w14:paraId="54949B75"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1CCC9D" w14:textId="77777777" w:rsidR="00834767" w:rsidRPr="00BE383A" w:rsidRDefault="00326F97">
            <w:pPr>
              <w:jc w:val="center"/>
              <w:rPr>
                <w:rFonts w:eastAsia="Calibri"/>
                <w:sz w:val="20"/>
                <w:szCs w:val="20"/>
              </w:rPr>
            </w:pPr>
            <w:r w:rsidRPr="00BE383A">
              <w:rPr>
                <w:sz w:val="20"/>
              </w:rPr>
              <w:t>Moyen</w:t>
            </w:r>
          </w:p>
          <w:p w14:paraId="3FE29F91"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10532B" w14:textId="77777777" w:rsidR="00834767" w:rsidRPr="00BE383A" w:rsidRDefault="00326F97">
            <w:pPr>
              <w:jc w:val="center"/>
              <w:rPr>
                <w:rFonts w:eastAsia="Calibri"/>
                <w:sz w:val="20"/>
                <w:szCs w:val="20"/>
              </w:rPr>
            </w:pPr>
            <w:r w:rsidRPr="00BE383A">
              <w:rPr>
                <w:sz w:val="20"/>
              </w:rPr>
              <w:t>Bon</w:t>
            </w:r>
          </w:p>
          <w:p w14:paraId="31537C21"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CDB9DB" w14:textId="77777777" w:rsidR="00834767" w:rsidRPr="00BE383A" w:rsidRDefault="00326F97">
            <w:pPr>
              <w:jc w:val="center"/>
              <w:rPr>
                <w:rFonts w:eastAsia="Calibri"/>
                <w:sz w:val="20"/>
                <w:szCs w:val="20"/>
              </w:rPr>
            </w:pPr>
            <w:r w:rsidRPr="00BE383A">
              <w:rPr>
                <w:sz w:val="20"/>
              </w:rPr>
              <w:t>Très bon</w:t>
            </w:r>
          </w:p>
          <w:p w14:paraId="715FE56A"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6F11237" w14:textId="77777777" w:rsidR="00834767" w:rsidRPr="00BE383A" w:rsidRDefault="00326F97">
            <w:pPr>
              <w:jc w:val="center"/>
              <w:rPr>
                <w:rFonts w:eastAsia="Calibri"/>
                <w:sz w:val="20"/>
                <w:szCs w:val="20"/>
              </w:rPr>
            </w:pPr>
            <w:r w:rsidRPr="00BE383A">
              <w:rPr>
                <w:sz w:val="20"/>
              </w:rPr>
              <w:t>Excellent</w:t>
            </w:r>
          </w:p>
          <w:p w14:paraId="69548173" w14:textId="77777777" w:rsidR="00834767" w:rsidRPr="00BE383A" w:rsidRDefault="00326F97">
            <w:pPr>
              <w:jc w:val="center"/>
              <w:rPr>
                <w:rFonts w:eastAsia="Calibri"/>
                <w:sz w:val="20"/>
                <w:szCs w:val="20"/>
              </w:rPr>
            </w:pPr>
            <w:r w:rsidRPr="00BE383A">
              <w:rPr>
                <w:rFonts w:ascii="Segoe UI Symbol" w:hAnsi="Segoe UI Symbol" w:cs="Segoe UI Symbol"/>
                <w:sz w:val="20"/>
                <w:cs/>
              </w:rPr>
              <w:t>☐</w:t>
            </w:r>
          </w:p>
        </w:tc>
      </w:tr>
      <w:tr w:rsidR="00AD2D85" w:rsidRPr="00BE383A" w14:paraId="29B714D7"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AF3FE" w14:textId="77777777" w:rsidR="00834767" w:rsidRPr="00BE383A" w:rsidRDefault="00326F97">
            <w:pPr>
              <w:rPr>
                <w:rFonts w:eastAsia="Calibri"/>
                <w:color w:val="005F9A"/>
                <w:sz w:val="20"/>
                <w:szCs w:val="20"/>
              </w:rPr>
            </w:pPr>
            <w:r w:rsidRPr="00BE383A">
              <w:rPr>
                <w:color w:val="005F9A"/>
                <w:sz w:val="20"/>
              </w:rPr>
              <w:t>Éléments à l'appui de l'évaluation :</w:t>
            </w:r>
          </w:p>
          <w:p w14:paraId="2A8F1D1C" w14:textId="77777777" w:rsidR="00834767" w:rsidRPr="00BE383A" w:rsidRDefault="00834767">
            <w:pPr>
              <w:rPr>
                <w:rFonts w:eastAsia="Calibri"/>
                <w:color w:val="0000FF"/>
                <w:sz w:val="20"/>
                <w:szCs w:val="20"/>
              </w:rPr>
            </w:pPr>
          </w:p>
          <w:p w14:paraId="4F5C79BD" w14:textId="77777777" w:rsidR="00834767" w:rsidRPr="00BE383A" w:rsidRDefault="00834767">
            <w:pPr>
              <w:rPr>
                <w:rFonts w:eastAsia="Calibri"/>
                <w:color w:val="0000FF"/>
                <w:sz w:val="20"/>
                <w:szCs w:val="20"/>
              </w:rPr>
            </w:pPr>
          </w:p>
        </w:tc>
      </w:tr>
    </w:tbl>
    <w:p w14:paraId="6FA73306" w14:textId="77777777" w:rsidR="00834767" w:rsidRPr="00BE383A" w:rsidRDefault="00326F97" w:rsidP="0000157D">
      <w:pPr>
        <w:pStyle w:val="section-title"/>
      </w:pPr>
      <w:r w:rsidRPr="00BE383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AD2D85" w:rsidRPr="00BE383A" w14:paraId="280BF0D6" w14:textId="77777777" w:rsidTr="00BA32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C5D72D9" w14:textId="77777777" w:rsidR="00834767" w:rsidRPr="00BE383A" w:rsidRDefault="00326F97" w:rsidP="00BA3230">
            <w:pPr>
              <w:keepNext/>
              <w:keepLines/>
              <w:spacing w:line="240" w:lineRule="auto"/>
              <w:rPr>
                <w:rFonts w:eastAsia="Calibri"/>
                <w:sz w:val="20"/>
                <w:szCs w:val="20"/>
              </w:rPr>
            </w:pPr>
            <w:r w:rsidRPr="00BE383A">
              <w:rPr>
                <w:i/>
                <w:color w:val="000000"/>
                <w:sz w:val="20"/>
              </w:rPr>
              <w:t>Dans cet encadré, notez les recommandations et les idées visant à renforcer les règles et la pratique dans ce domaine.</w:t>
            </w:r>
          </w:p>
        </w:tc>
      </w:tr>
    </w:tbl>
    <w:p w14:paraId="6D22FAE9" w14:textId="77777777" w:rsidR="00834767" w:rsidRPr="00BE383A" w:rsidRDefault="00326F97" w:rsidP="0000157D">
      <w:pPr>
        <w:pStyle w:val="section-title"/>
      </w:pPr>
      <w:r w:rsidRPr="00BE383A">
        <w:t>Sources et autre documentation</w:t>
      </w:r>
    </w:p>
    <w:p w14:paraId="65DAABAF" w14:textId="10F94FF0" w:rsidR="00944B3E" w:rsidRPr="00944B3E" w:rsidRDefault="00944B3E" w:rsidP="00AD2D85">
      <w:pPr>
        <w:numPr>
          <w:ilvl w:val="0"/>
          <w:numId w:val="1"/>
        </w:numPr>
        <w:spacing w:line="240" w:lineRule="auto"/>
        <w:ind w:left="562" w:hanging="562"/>
        <w:rPr>
          <w:sz w:val="20"/>
          <w:szCs w:val="20"/>
        </w:rPr>
      </w:pPr>
      <w:r w:rsidRPr="00BE383A">
        <w:rPr>
          <w:sz w:val="20"/>
        </w:rPr>
        <w:t xml:space="preserve">Centre d'information des Nations Unies pour les droits de l'homme, </w:t>
      </w:r>
      <w:hyperlink r:id="rId47">
        <w:r w:rsidRPr="00BE383A">
          <w:rPr>
            <w:i/>
            <w:color w:val="0563C1"/>
            <w:sz w:val="20"/>
            <w:u w:val="single"/>
          </w:rPr>
          <w:t xml:space="preserve">Human </w:t>
        </w:r>
        <w:proofErr w:type="spellStart"/>
        <w:r w:rsidRPr="00BE383A">
          <w:rPr>
            <w:i/>
            <w:color w:val="0563C1"/>
            <w:sz w:val="20"/>
            <w:u w:val="single"/>
          </w:rPr>
          <w:t>Rights</w:t>
        </w:r>
        <w:proofErr w:type="spellEnd"/>
        <w:r w:rsidRPr="00BE383A">
          <w:rPr>
            <w:i/>
            <w:color w:val="0563C1"/>
            <w:sz w:val="20"/>
            <w:u w:val="single"/>
          </w:rPr>
          <w:t xml:space="preserve"> and Elections:</w:t>
        </w:r>
      </w:hyperlink>
      <w:hyperlink r:id="rId48">
        <w:r w:rsidRPr="00BE383A">
          <w:rPr>
            <w:i/>
            <w:color w:val="0563C1"/>
            <w:sz w:val="20"/>
            <w:u w:val="single"/>
          </w:rPr>
          <w:t xml:space="preserve"> A </w:t>
        </w:r>
        <w:proofErr w:type="spellStart"/>
        <w:r w:rsidRPr="00BE383A">
          <w:rPr>
            <w:i/>
            <w:color w:val="0563C1"/>
            <w:sz w:val="20"/>
            <w:u w:val="single"/>
          </w:rPr>
          <w:t>Handbook</w:t>
        </w:r>
        <w:proofErr w:type="spellEnd"/>
        <w:r w:rsidRPr="00BE383A">
          <w:rPr>
            <w:i/>
            <w:color w:val="0563C1"/>
            <w:sz w:val="20"/>
            <w:u w:val="single"/>
          </w:rPr>
          <w:t xml:space="preserve"> on the Legal, </w:t>
        </w:r>
        <w:proofErr w:type="spellStart"/>
        <w:r w:rsidRPr="00BE383A">
          <w:rPr>
            <w:i/>
            <w:color w:val="0563C1"/>
            <w:sz w:val="20"/>
            <w:u w:val="single"/>
          </w:rPr>
          <w:t>Technical</w:t>
        </w:r>
        <w:proofErr w:type="spellEnd"/>
        <w:r w:rsidRPr="00BE383A">
          <w:rPr>
            <w:i/>
            <w:color w:val="0563C1"/>
            <w:sz w:val="20"/>
            <w:u w:val="single"/>
          </w:rPr>
          <w:t xml:space="preserve"> and Human </w:t>
        </w:r>
        <w:proofErr w:type="spellStart"/>
        <w:r w:rsidRPr="00BE383A">
          <w:rPr>
            <w:i/>
            <w:color w:val="0563C1"/>
            <w:sz w:val="20"/>
            <w:u w:val="single"/>
          </w:rPr>
          <w:t>Rights</w:t>
        </w:r>
        <w:proofErr w:type="spellEnd"/>
        <w:r w:rsidRPr="00BE383A">
          <w:rPr>
            <w:i/>
            <w:color w:val="0563C1"/>
            <w:sz w:val="20"/>
            <w:u w:val="single"/>
          </w:rPr>
          <w:t xml:space="preserve"> Aspects of Elections</w:t>
        </w:r>
      </w:hyperlink>
      <w:r w:rsidRPr="00BE383A">
        <w:rPr>
          <w:sz w:val="20"/>
        </w:rPr>
        <w:t xml:space="preserve"> (1994).</w:t>
      </w:r>
    </w:p>
    <w:p w14:paraId="7200AD2F" w14:textId="5361B146" w:rsidR="00834767" w:rsidRPr="00BE383A" w:rsidRDefault="00326F97" w:rsidP="00AD2D85">
      <w:pPr>
        <w:numPr>
          <w:ilvl w:val="0"/>
          <w:numId w:val="1"/>
        </w:numPr>
        <w:spacing w:line="240" w:lineRule="auto"/>
        <w:ind w:left="562" w:hanging="562"/>
        <w:rPr>
          <w:sz w:val="20"/>
          <w:szCs w:val="20"/>
        </w:rPr>
      </w:pPr>
      <w:r w:rsidRPr="00BE383A">
        <w:rPr>
          <w:sz w:val="20"/>
        </w:rPr>
        <w:t xml:space="preserve">Commission européenne pour la démocratie par le droit (Commission de Venise), </w:t>
      </w:r>
      <w:hyperlink r:id="rId49">
        <w:r w:rsidRPr="00BE383A">
          <w:rPr>
            <w:i/>
            <w:color w:val="0563C1"/>
            <w:sz w:val="20"/>
            <w:u w:val="single"/>
          </w:rPr>
          <w:t>Code de bonne conduite en matière électorale :</w:t>
        </w:r>
      </w:hyperlink>
      <w:hyperlink r:id="rId50">
        <w:r w:rsidRPr="00BE383A">
          <w:rPr>
            <w:i/>
            <w:color w:val="0563C1"/>
            <w:sz w:val="20"/>
            <w:u w:val="single"/>
          </w:rPr>
          <w:t xml:space="preserve"> Lignes directrices et rapport explicatif</w:t>
        </w:r>
      </w:hyperlink>
      <w:r w:rsidRPr="00BE383A">
        <w:rPr>
          <w:sz w:val="20"/>
        </w:rPr>
        <w:t xml:space="preserve"> (2002).</w:t>
      </w:r>
    </w:p>
    <w:p w14:paraId="1F00DDAF" w14:textId="5CE25D2B" w:rsidR="00834767" w:rsidRPr="00BE383A" w:rsidRDefault="00326F97" w:rsidP="00AD2D85">
      <w:pPr>
        <w:numPr>
          <w:ilvl w:val="0"/>
          <w:numId w:val="1"/>
        </w:numPr>
        <w:spacing w:line="240" w:lineRule="auto"/>
        <w:ind w:left="562" w:hanging="562"/>
        <w:rPr>
          <w:sz w:val="20"/>
          <w:szCs w:val="20"/>
        </w:rPr>
      </w:pPr>
      <w:r w:rsidRPr="00BE383A">
        <w:rPr>
          <w:sz w:val="20"/>
        </w:rPr>
        <w:t>Goodwin-Gill</w:t>
      </w:r>
      <w:r w:rsidR="009A4F60" w:rsidRPr="009A4F60">
        <w:rPr>
          <w:sz w:val="20"/>
        </w:rPr>
        <w:t xml:space="preserve"> </w:t>
      </w:r>
      <w:r w:rsidR="009A4F60" w:rsidRPr="00BE383A">
        <w:rPr>
          <w:sz w:val="20"/>
        </w:rPr>
        <w:t>Guy S.</w:t>
      </w:r>
      <w:r w:rsidRPr="00BE383A">
        <w:rPr>
          <w:sz w:val="20"/>
        </w:rPr>
        <w:t xml:space="preserve">, </w:t>
      </w:r>
      <w:hyperlink r:id="rId51">
        <w:r w:rsidR="00BE383A" w:rsidRPr="00BE383A">
          <w:rPr>
            <w:i/>
            <w:color w:val="0563C1"/>
            <w:sz w:val="20"/>
            <w:u w:val="single"/>
          </w:rPr>
          <w:t>Élections</w:t>
        </w:r>
        <w:r w:rsidRPr="00BE383A">
          <w:rPr>
            <w:i/>
            <w:color w:val="0563C1"/>
            <w:sz w:val="20"/>
            <w:u w:val="single"/>
          </w:rPr>
          <w:t xml:space="preserve"> libres et régulières :</w:t>
        </w:r>
      </w:hyperlink>
      <w:hyperlink r:id="rId52">
        <w:r w:rsidRPr="00BE383A">
          <w:rPr>
            <w:i/>
            <w:color w:val="0563C1"/>
            <w:sz w:val="20"/>
            <w:u w:val="single"/>
          </w:rPr>
          <w:t xml:space="preserve"> Nouvelle édition augmentée</w:t>
        </w:r>
      </w:hyperlink>
      <w:r w:rsidRPr="00BE383A">
        <w:rPr>
          <w:sz w:val="20"/>
        </w:rPr>
        <w:t xml:space="preserve"> (2006).</w:t>
      </w:r>
    </w:p>
    <w:p w14:paraId="7F4554EB" w14:textId="77777777" w:rsidR="00834767" w:rsidRPr="00BE383A" w:rsidRDefault="00326F97" w:rsidP="00684C9A">
      <w:pPr>
        <w:keepNext/>
        <w:numPr>
          <w:ilvl w:val="0"/>
          <w:numId w:val="1"/>
        </w:numPr>
        <w:spacing w:line="240" w:lineRule="auto"/>
        <w:ind w:left="562" w:hanging="562"/>
        <w:rPr>
          <w:sz w:val="20"/>
          <w:szCs w:val="20"/>
        </w:rPr>
      </w:pPr>
      <w:r w:rsidRPr="00BE383A">
        <w:rPr>
          <w:sz w:val="20"/>
        </w:rPr>
        <w:t xml:space="preserve">Institut international pour la démocratie et l'assistance électorale (International IDEA), </w:t>
      </w:r>
      <w:hyperlink r:id="rId53">
        <w:r w:rsidRPr="00BE383A">
          <w:rPr>
            <w:i/>
            <w:color w:val="0563C1"/>
            <w:sz w:val="20"/>
            <w:u w:val="single"/>
          </w:rPr>
          <w:t>Electoral Justice:</w:t>
        </w:r>
      </w:hyperlink>
      <w:hyperlink r:id="rId54">
        <w:r w:rsidRPr="00BE383A">
          <w:rPr>
            <w:i/>
            <w:color w:val="0563C1"/>
            <w:sz w:val="20"/>
            <w:u w:val="single"/>
          </w:rPr>
          <w:t xml:space="preserve"> The International IDEA </w:t>
        </w:r>
        <w:proofErr w:type="spellStart"/>
        <w:r w:rsidRPr="00BE383A">
          <w:rPr>
            <w:i/>
            <w:color w:val="0563C1"/>
            <w:sz w:val="20"/>
            <w:u w:val="single"/>
          </w:rPr>
          <w:t>Handbook</w:t>
        </w:r>
        <w:proofErr w:type="spellEnd"/>
      </w:hyperlink>
      <w:r w:rsidRPr="00BE383A">
        <w:rPr>
          <w:sz w:val="20"/>
        </w:rPr>
        <w:t xml:space="preserve"> (2010).</w:t>
      </w:r>
    </w:p>
    <w:p w14:paraId="21D7AD1D" w14:textId="77777777" w:rsidR="00834767" w:rsidRPr="00326F97" w:rsidRDefault="00326F97" w:rsidP="00AD2D85">
      <w:pPr>
        <w:numPr>
          <w:ilvl w:val="0"/>
          <w:numId w:val="1"/>
        </w:numPr>
        <w:spacing w:line="240" w:lineRule="auto"/>
        <w:ind w:left="562" w:hanging="562"/>
        <w:rPr>
          <w:sz w:val="20"/>
          <w:szCs w:val="20"/>
          <w:lang w:val="en-US"/>
        </w:rPr>
      </w:pPr>
      <w:r w:rsidRPr="00326F97">
        <w:rPr>
          <w:sz w:val="20"/>
          <w:lang w:val="en-US"/>
        </w:rPr>
        <w:t xml:space="preserve">International IDEA, </w:t>
      </w:r>
      <w:hyperlink r:id="rId55">
        <w:r w:rsidRPr="00326F97">
          <w:rPr>
            <w:i/>
            <w:color w:val="0563C1"/>
            <w:sz w:val="20"/>
            <w:u w:val="single"/>
            <w:lang w:val="en-US"/>
          </w:rPr>
          <w:t>Electoral Management Design:</w:t>
        </w:r>
      </w:hyperlink>
      <w:hyperlink r:id="rId56">
        <w:r w:rsidRPr="00326F97">
          <w:rPr>
            <w:i/>
            <w:color w:val="0563C1"/>
            <w:sz w:val="20"/>
            <w:u w:val="single"/>
            <w:lang w:val="en-US"/>
          </w:rPr>
          <w:t xml:space="preserve"> Revised Edition</w:t>
        </w:r>
      </w:hyperlink>
      <w:r w:rsidRPr="00326F97">
        <w:rPr>
          <w:sz w:val="20"/>
          <w:lang w:val="en-US"/>
        </w:rPr>
        <w:t xml:space="preserve"> (2014).</w:t>
      </w:r>
    </w:p>
    <w:p w14:paraId="6A19012F" w14:textId="77777777" w:rsidR="00834767" w:rsidRPr="00326F97" w:rsidRDefault="00326F97" w:rsidP="00AD2D85">
      <w:pPr>
        <w:numPr>
          <w:ilvl w:val="0"/>
          <w:numId w:val="1"/>
        </w:numPr>
        <w:spacing w:line="240" w:lineRule="auto"/>
        <w:ind w:left="562" w:hanging="562"/>
        <w:rPr>
          <w:sz w:val="20"/>
          <w:szCs w:val="20"/>
          <w:lang w:val="en-US"/>
        </w:rPr>
      </w:pPr>
      <w:r w:rsidRPr="00326F97">
        <w:rPr>
          <w:sz w:val="20"/>
          <w:lang w:val="en-US"/>
        </w:rPr>
        <w:t xml:space="preserve">International IDEA, </w:t>
      </w:r>
      <w:hyperlink r:id="rId57">
        <w:r w:rsidRPr="00326F97">
          <w:rPr>
            <w:i/>
            <w:color w:val="0563C1"/>
            <w:sz w:val="20"/>
            <w:u w:val="single"/>
            <w:lang w:val="en-US"/>
          </w:rPr>
          <w:t>International Obligations for Elections:</w:t>
        </w:r>
      </w:hyperlink>
      <w:hyperlink r:id="rId58">
        <w:r w:rsidRPr="00326F97">
          <w:rPr>
            <w:i/>
            <w:color w:val="0563C1"/>
            <w:sz w:val="20"/>
            <w:u w:val="single"/>
            <w:lang w:val="en-US"/>
          </w:rPr>
          <w:t xml:space="preserve"> Guidelines for Legal Frameworks</w:t>
        </w:r>
      </w:hyperlink>
      <w:r w:rsidRPr="00326F97">
        <w:rPr>
          <w:sz w:val="20"/>
          <w:lang w:val="en-US"/>
        </w:rPr>
        <w:t xml:space="preserve"> (2014).</w:t>
      </w:r>
    </w:p>
    <w:p w14:paraId="1922D8E7" w14:textId="485693B2" w:rsidR="00834767" w:rsidRPr="00326F97" w:rsidRDefault="00326F97" w:rsidP="00944B3E">
      <w:pPr>
        <w:keepNext/>
        <w:numPr>
          <w:ilvl w:val="0"/>
          <w:numId w:val="7"/>
        </w:numPr>
        <w:spacing w:line="240" w:lineRule="auto"/>
        <w:ind w:left="562" w:hanging="562"/>
        <w:rPr>
          <w:sz w:val="20"/>
          <w:szCs w:val="20"/>
          <w:lang w:val="en-US"/>
        </w:rPr>
      </w:pPr>
      <w:proofErr w:type="spellStart"/>
      <w:r w:rsidRPr="00326F97">
        <w:rPr>
          <w:sz w:val="20"/>
          <w:lang w:val="en-US"/>
        </w:rPr>
        <w:t>Organisation</w:t>
      </w:r>
      <w:proofErr w:type="spellEnd"/>
      <w:r w:rsidRPr="00326F97">
        <w:rPr>
          <w:sz w:val="20"/>
          <w:lang w:val="en-US"/>
        </w:rPr>
        <w:t xml:space="preserve"> pour la </w:t>
      </w:r>
      <w:proofErr w:type="spellStart"/>
      <w:r w:rsidRPr="00326F97">
        <w:rPr>
          <w:sz w:val="20"/>
          <w:lang w:val="en-US"/>
        </w:rPr>
        <w:t>sécurité</w:t>
      </w:r>
      <w:proofErr w:type="spellEnd"/>
      <w:r w:rsidRPr="00326F97">
        <w:rPr>
          <w:sz w:val="20"/>
          <w:lang w:val="en-US"/>
        </w:rPr>
        <w:t xml:space="preserve"> et la </w:t>
      </w:r>
      <w:proofErr w:type="spellStart"/>
      <w:r w:rsidRPr="00326F97">
        <w:rPr>
          <w:sz w:val="20"/>
          <w:lang w:val="en-US"/>
        </w:rPr>
        <w:t>coopération</w:t>
      </w:r>
      <w:proofErr w:type="spellEnd"/>
      <w:r w:rsidRPr="00326F97">
        <w:rPr>
          <w:sz w:val="20"/>
          <w:lang w:val="en-US"/>
        </w:rPr>
        <w:t xml:space="preserve"> </w:t>
      </w:r>
      <w:proofErr w:type="spellStart"/>
      <w:r w:rsidRPr="00326F97">
        <w:rPr>
          <w:sz w:val="20"/>
          <w:lang w:val="en-US"/>
        </w:rPr>
        <w:t>en</w:t>
      </w:r>
      <w:proofErr w:type="spellEnd"/>
      <w:r w:rsidRPr="00326F97">
        <w:rPr>
          <w:sz w:val="20"/>
          <w:lang w:val="en-US"/>
        </w:rPr>
        <w:t xml:space="preserve"> Europe (OSCE), </w:t>
      </w:r>
      <w:hyperlink r:id="rId59">
        <w:r w:rsidRPr="00326F97">
          <w:rPr>
            <w:i/>
            <w:color w:val="0563C1"/>
            <w:sz w:val="20"/>
            <w:u w:val="single"/>
            <w:lang w:val="en-US"/>
          </w:rPr>
          <w:t>International Standards and Commitments on the Right to Democratic Elections:</w:t>
        </w:r>
      </w:hyperlink>
      <w:hyperlink r:id="rId60">
        <w:r w:rsidRPr="00326F97">
          <w:rPr>
            <w:i/>
            <w:color w:val="0563C1"/>
            <w:sz w:val="20"/>
            <w:u w:val="single"/>
            <w:lang w:val="en-US"/>
          </w:rPr>
          <w:t xml:space="preserve"> A Practical Guide to Democratic Elections:</w:t>
        </w:r>
      </w:hyperlink>
      <w:hyperlink r:id="rId61">
        <w:r w:rsidRPr="00326F97">
          <w:rPr>
            <w:i/>
            <w:color w:val="0563C1"/>
            <w:sz w:val="20"/>
            <w:u w:val="single"/>
            <w:lang w:val="en-US"/>
          </w:rPr>
          <w:t xml:space="preserve"> Best Practice</w:t>
        </w:r>
      </w:hyperlink>
      <w:r w:rsidRPr="00326F97">
        <w:rPr>
          <w:sz w:val="20"/>
          <w:lang w:val="en-US"/>
        </w:rPr>
        <w:t xml:space="preserve"> (2002).</w:t>
      </w:r>
    </w:p>
    <w:p w14:paraId="419E1C9F" w14:textId="7E40FB30" w:rsidR="00944B3E" w:rsidRPr="00944B3E" w:rsidRDefault="00944B3E" w:rsidP="00944B3E">
      <w:pPr>
        <w:keepNext/>
        <w:numPr>
          <w:ilvl w:val="0"/>
          <w:numId w:val="7"/>
        </w:numPr>
        <w:spacing w:line="240" w:lineRule="auto"/>
        <w:ind w:left="562" w:hanging="562"/>
        <w:rPr>
          <w:sz w:val="20"/>
          <w:szCs w:val="20"/>
        </w:rPr>
      </w:pPr>
      <w:r w:rsidRPr="00BE383A">
        <w:rPr>
          <w:sz w:val="20"/>
        </w:rPr>
        <w:t xml:space="preserve">UIP, </w:t>
      </w:r>
      <w:hyperlink r:id="rId62">
        <w:r w:rsidRPr="00BE383A">
          <w:rPr>
            <w:i/>
            <w:iCs/>
            <w:color w:val="0563C1"/>
            <w:sz w:val="20"/>
            <w:u w:val="single"/>
          </w:rPr>
          <w:t>Déclaration sur les critères pour des élections libres et régulières</w:t>
        </w:r>
      </w:hyperlink>
      <w:r w:rsidRPr="00BE383A">
        <w:rPr>
          <w:sz w:val="20"/>
        </w:rPr>
        <w:t>, adoptée par le Conseil interparlementaire lors de sa 154</w:t>
      </w:r>
      <w:r w:rsidRPr="00BE383A">
        <w:rPr>
          <w:sz w:val="20"/>
          <w:vertAlign w:val="superscript"/>
        </w:rPr>
        <w:t>e</w:t>
      </w:r>
      <w:r w:rsidRPr="00BE383A">
        <w:rPr>
          <w:sz w:val="20"/>
        </w:rPr>
        <w:t xml:space="preserve"> session (1994).</w:t>
      </w:r>
    </w:p>
    <w:p w14:paraId="68E7CDE3" w14:textId="77777777" w:rsidR="00834767" w:rsidRPr="00BE383A" w:rsidRDefault="00834767" w:rsidP="001545ED">
      <w:pPr>
        <w:spacing w:line="240" w:lineRule="auto"/>
        <w:rPr>
          <w:sz w:val="20"/>
          <w:szCs w:val="20"/>
        </w:rPr>
      </w:pPr>
    </w:p>
    <w:p w14:paraId="1FD2719B" w14:textId="77777777" w:rsidR="00834767" w:rsidRPr="00BE383A" w:rsidRDefault="00834767" w:rsidP="001545ED">
      <w:pPr>
        <w:spacing w:line="240" w:lineRule="auto"/>
        <w:rPr>
          <w:sz w:val="20"/>
          <w:szCs w:val="20"/>
        </w:rPr>
      </w:pPr>
    </w:p>
    <w:bookmarkEnd w:id="1"/>
    <w:p w14:paraId="675D0F9D" w14:textId="77777777" w:rsidR="00834767" w:rsidRPr="00BE383A" w:rsidRDefault="00834767" w:rsidP="001545ED">
      <w:pPr>
        <w:spacing w:line="240" w:lineRule="auto"/>
      </w:pPr>
    </w:p>
    <w:sectPr w:rsidR="00834767" w:rsidRPr="00BE383A" w:rsidSect="00326F97">
      <w:headerReference w:type="default" r:id="rId63"/>
      <w:footerReference w:type="default" r:id="rId64"/>
      <w:headerReference w:type="first" r:id="rId65"/>
      <w:footerReference w:type="first" r:id="rId66"/>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7019" w14:textId="77777777" w:rsidR="00080918" w:rsidRDefault="00080918">
      <w:pPr>
        <w:spacing w:line="240" w:lineRule="auto"/>
      </w:pPr>
      <w:r>
        <w:separator/>
      </w:r>
    </w:p>
  </w:endnote>
  <w:endnote w:type="continuationSeparator" w:id="0">
    <w:p w14:paraId="4085CB57" w14:textId="77777777" w:rsidR="00080918" w:rsidRDefault="00080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678983"/>
      <w:docPartObj>
        <w:docPartGallery w:val="Page Numbers (Bottom of Page)"/>
        <w:docPartUnique/>
      </w:docPartObj>
    </w:sdtPr>
    <w:sdtEndPr>
      <w:rPr>
        <w:noProof/>
        <w:sz w:val="20"/>
        <w:szCs w:val="20"/>
      </w:rPr>
    </w:sdtEndPr>
    <w:sdtContent>
      <w:p w14:paraId="47B139A3" w14:textId="35F905CE" w:rsidR="00834767" w:rsidRPr="00326F97" w:rsidRDefault="00326F97" w:rsidP="00326F97">
        <w:pPr>
          <w:pStyle w:val="Pieddepage"/>
          <w:jc w:val="right"/>
          <w:rPr>
            <w:sz w:val="20"/>
            <w:szCs w:val="20"/>
          </w:rPr>
        </w:pPr>
        <w:r w:rsidRPr="00326F97">
          <w:rPr>
            <w:sz w:val="20"/>
            <w:szCs w:val="20"/>
          </w:rPr>
          <w:fldChar w:fldCharType="begin"/>
        </w:r>
        <w:r w:rsidRPr="00326F97">
          <w:rPr>
            <w:sz w:val="20"/>
            <w:szCs w:val="20"/>
          </w:rPr>
          <w:instrText xml:space="preserve"> PAGE   \* MERGEFORMAT </w:instrText>
        </w:r>
        <w:r w:rsidRPr="00326F97">
          <w:rPr>
            <w:sz w:val="20"/>
            <w:szCs w:val="20"/>
          </w:rPr>
          <w:fldChar w:fldCharType="separate"/>
        </w:r>
        <w:r w:rsidRPr="00326F97">
          <w:rPr>
            <w:noProof/>
            <w:sz w:val="20"/>
            <w:szCs w:val="20"/>
          </w:rPr>
          <w:t>2</w:t>
        </w:r>
        <w:r w:rsidRPr="00326F9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F102" w14:textId="77777777" w:rsidR="00326F97" w:rsidRPr="007B30A2" w:rsidRDefault="00326F97" w:rsidP="00326F97">
    <w:pPr>
      <w:pStyle w:val="NormalWeb"/>
      <w:rPr>
        <w:rFonts w:ascii="Arial" w:hAnsi="Arial" w:cs="Arial"/>
        <w:sz w:val="20"/>
        <w:szCs w:val="20"/>
        <w:lang w:val="fr-CH"/>
      </w:rPr>
    </w:pPr>
    <w:r w:rsidRPr="007B30A2">
      <w:rPr>
        <w:rFonts w:ascii="Arial" w:hAnsi="Arial" w:cs="Arial"/>
        <w:sz w:val="20"/>
        <w:szCs w:val="20"/>
        <w:lang w:val="fr-CH"/>
      </w:rPr>
      <w:t>_______________</w:t>
    </w:r>
  </w:p>
  <w:p w14:paraId="4846D189" w14:textId="77777777" w:rsidR="00326F97" w:rsidRPr="001C645E" w:rsidRDefault="00326F97" w:rsidP="00326F97">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rPr>
      <w:t>Directorio</w:t>
    </w:r>
    <w:proofErr w:type="spellEnd"/>
    <w:r w:rsidRPr="001C645E">
      <w:rPr>
        <w:rFonts w:ascii="Arial" w:hAnsi="Arial" w:cs="Arial"/>
        <w:sz w:val="20"/>
        <w:szCs w:val="20"/>
      </w:rPr>
      <w:t xml:space="preserve"> </w:t>
    </w:r>
    <w:proofErr w:type="spellStart"/>
    <w:r w:rsidRPr="001C645E">
      <w:rPr>
        <w:rFonts w:ascii="Arial" w:hAnsi="Arial" w:cs="Arial"/>
        <w:sz w:val="20"/>
        <w:szCs w:val="20"/>
      </w:rPr>
      <w:t>Legislativo</w:t>
    </w:r>
    <w:proofErr w:type="spellEnd"/>
    <w:r w:rsidRPr="001C645E">
      <w:rPr>
        <w:rFonts w:ascii="Arial" w:hAnsi="Arial" w:cs="Arial"/>
        <w:sz w:val="20"/>
        <w:szCs w:val="20"/>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rPr>
      <w:t>Foundation</w:t>
    </w:r>
    <w:proofErr w:type="spellEnd"/>
    <w:r w:rsidRPr="001C645E">
      <w:rPr>
        <w:rFonts w:ascii="Arial" w:hAnsi="Arial" w:cs="Arial"/>
        <w:sz w:val="20"/>
        <w:szCs w:val="20"/>
      </w:rPr>
      <w:t xml:space="preserve"> for </w:t>
    </w:r>
    <w:proofErr w:type="spellStart"/>
    <w:r w:rsidRPr="001C645E">
      <w:rPr>
        <w:rFonts w:ascii="Arial" w:hAnsi="Arial" w:cs="Arial"/>
        <w:sz w:val="20"/>
        <w:szCs w:val="20"/>
      </w:rPr>
      <w:t>Democracy</w:t>
    </w:r>
    <w:proofErr w:type="spellEnd"/>
    <w:r w:rsidRPr="001C645E">
      <w:rPr>
        <w:rFonts w:ascii="Arial" w:hAnsi="Arial" w:cs="Arial"/>
        <w:sz w:val="20"/>
        <w:szCs w:val="20"/>
      </w:rPr>
      <w:t xml:space="preserve"> (WFD). </w:t>
    </w:r>
  </w:p>
  <w:p w14:paraId="613A6C55" w14:textId="23EE1FAC" w:rsidR="00326F97" w:rsidRPr="00326F97" w:rsidRDefault="00326F97" w:rsidP="00326F97">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A8F2" w14:textId="77777777" w:rsidR="00080918" w:rsidRDefault="00080918">
      <w:pPr>
        <w:spacing w:line="240" w:lineRule="auto"/>
      </w:pPr>
      <w:r>
        <w:separator/>
      </w:r>
    </w:p>
  </w:footnote>
  <w:footnote w:type="continuationSeparator" w:id="0">
    <w:p w14:paraId="54E5F7C8" w14:textId="77777777" w:rsidR="00080918" w:rsidRDefault="00080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9042" w14:textId="471CEA4C" w:rsidR="00326F97" w:rsidRPr="00906A25" w:rsidRDefault="00326F97" w:rsidP="00326F97">
    <w:pPr>
      <w:pStyle w:val="En-tte"/>
      <w:rPr>
        <w:b/>
        <w:bCs/>
        <w:lang w:val="fr-CH"/>
      </w:rPr>
    </w:pPr>
    <w:bookmarkStart w:id="15" w:name="_Hlk146872618"/>
    <w:bookmarkStart w:id="16" w:name="_Hlk148252784"/>
    <w:bookmarkStart w:id="17" w:name="_Hlk148252785"/>
    <w:bookmarkStart w:id="18" w:name="_Hlk148252869"/>
    <w:bookmarkStart w:id="19" w:name="_Hlk148252870"/>
    <w:bookmarkStart w:id="20" w:name="_Hlk148252876"/>
    <w:bookmarkStart w:id="21" w:name="_Hlk148252877"/>
    <w:bookmarkStart w:id="22" w:name="_Hlk148252878"/>
    <w:bookmarkStart w:id="23" w:name="_Hlk148252879"/>
    <w:bookmarkStart w:id="24" w:name="_Hlk148252880"/>
    <w:bookmarkStart w:id="25" w:name="_Hlk148252881"/>
    <w:bookmarkStart w:id="26" w:name="_Hlk148252882"/>
    <w:bookmarkStart w:id="27" w:name="_Hlk148252883"/>
    <w:bookmarkStart w:id="28" w:name="_Hlk148252884"/>
    <w:bookmarkStart w:id="29" w:name="_Hlk148252885"/>
    <w:bookmarkStart w:id="30" w:name="_Hlk148252886"/>
    <w:bookmarkStart w:id="31" w:name="_Hlk148252887"/>
    <w:bookmarkStart w:id="32" w:name="_Hlk148252888"/>
    <w:bookmarkStart w:id="33" w:name="_Hlk148252889"/>
    <w:bookmarkStart w:id="34" w:name="_Hlk148252899"/>
    <w:bookmarkStart w:id="35" w:name="_Hlk148252900"/>
    <w:bookmarkStart w:id="36" w:name="_Hlk148252901"/>
    <w:bookmarkStart w:id="37" w:name="_Hlk148252902"/>
    <w:bookmarkStart w:id="38" w:name="_Hlk148253093"/>
    <w:bookmarkStart w:id="39" w:name="_Hlk148253094"/>
    <w:r w:rsidRPr="00906A25">
      <w:rPr>
        <w:b/>
        <w:bCs/>
        <w:sz w:val="20"/>
        <w:szCs w:val="20"/>
      </w:rPr>
      <w:t>Indicateurs pour des parlements démocratiques</w:t>
    </w:r>
    <w:r w:rsidRPr="00906A25">
      <w:rPr>
        <w:b/>
        <w:bCs/>
        <w:sz w:val="20"/>
        <w:szCs w:val="20"/>
        <w:lang w:val="fr-CH"/>
      </w:rPr>
      <w:tab/>
      <w:t>www.parliamentaryindicators.org</w:t>
    </w:r>
    <w:bookmarkEnd w:id="15"/>
  </w:p>
  <w:p w14:paraId="46C80BF1" w14:textId="7693F1CD" w:rsidR="00326F97" w:rsidRPr="00906A25" w:rsidRDefault="00326F97" w:rsidP="00326F97">
    <w:pPr>
      <w:pStyle w:val="En-tte"/>
      <w:rPr>
        <w:lang w:val="en-US"/>
      </w:rPr>
    </w:pPr>
    <w:r w:rsidRPr="00906A25">
      <w:rPr>
        <w:sz w:val="20"/>
        <w:szCs w:val="20"/>
        <w:lang w:val="en-US"/>
      </w:rPr>
      <w:t>________________________________________________</w:t>
    </w:r>
    <w:r>
      <w:rPr>
        <w:sz w:val="20"/>
        <w:szCs w:val="20"/>
        <w:lang w:val="en-US"/>
      </w:rPr>
      <w:t>__</w:t>
    </w:r>
    <w:r w:rsidRPr="00906A25">
      <w:rPr>
        <w:sz w:val="20"/>
        <w:szCs w:val="20"/>
        <w:lang w:val="en-US"/>
      </w:rPr>
      <w:t>_______________________________</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2DFA300C" w14:textId="403B01D1" w:rsidR="00834767" w:rsidRPr="00326F97" w:rsidRDefault="00834767" w:rsidP="00326F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F30F" w14:textId="77777777" w:rsidR="00326F97" w:rsidRDefault="00326F97" w:rsidP="00326F97">
    <w:pPr>
      <w:pStyle w:val="En-tte"/>
    </w:pPr>
    <w:bookmarkStart w:id="40" w:name="_Hlk148252769"/>
    <w:bookmarkStart w:id="41" w:name="_Hlk148252770"/>
    <w:bookmarkStart w:id="42" w:name="_Hlk148252862"/>
    <w:bookmarkStart w:id="43" w:name="_Hlk148252863"/>
    <w:r>
      <w:rPr>
        <w:noProof/>
      </w:rPr>
      <w:drawing>
        <wp:inline distT="0" distB="0" distL="0" distR="0" wp14:anchorId="4F6C0C1B" wp14:editId="7F193DAC">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3870835B" w14:textId="77777777" w:rsidR="00326F97" w:rsidRDefault="00326F97" w:rsidP="00326F97">
    <w:pPr>
      <w:pStyle w:val="En-tte"/>
    </w:pPr>
  </w:p>
  <w:bookmarkEnd w:id="40"/>
  <w:bookmarkEnd w:id="41"/>
  <w:bookmarkEnd w:id="42"/>
  <w:bookmarkEnd w:id="43"/>
  <w:p w14:paraId="0DEAB872" w14:textId="77777777" w:rsidR="00326F97" w:rsidRDefault="00326F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94"/>
    <w:multiLevelType w:val="hybridMultilevel"/>
    <w:tmpl w:val="3C1E972E"/>
    <w:lvl w:ilvl="0" w:tplc="FB9E8ED4">
      <w:start w:val="1"/>
      <w:numFmt w:val="bullet"/>
      <w:lvlText w:val=""/>
      <w:lvlJc w:val="left"/>
      <w:pPr>
        <w:ind w:left="720" w:hanging="360"/>
      </w:pPr>
      <w:rPr>
        <w:rFonts w:ascii="Symbol" w:hAnsi="Symbol" w:hint="default"/>
      </w:rPr>
    </w:lvl>
    <w:lvl w:ilvl="1" w:tplc="BCF6B6B8" w:tentative="1">
      <w:start w:val="1"/>
      <w:numFmt w:val="bullet"/>
      <w:lvlText w:val="o"/>
      <w:lvlJc w:val="left"/>
      <w:pPr>
        <w:ind w:left="1440" w:hanging="360"/>
      </w:pPr>
      <w:rPr>
        <w:rFonts w:ascii="Courier New" w:hAnsi="Courier New" w:cs="Courier New" w:hint="default"/>
      </w:rPr>
    </w:lvl>
    <w:lvl w:ilvl="2" w:tplc="2942186C" w:tentative="1">
      <w:start w:val="1"/>
      <w:numFmt w:val="bullet"/>
      <w:lvlText w:val=""/>
      <w:lvlJc w:val="left"/>
      <w:pPr>
        <w:ind w:left="2160" w:hanging="360"/>
      </w:pPr>
      <w:rPr>
        <w:rFonts w:ascii="Wingdings" w:hAnsi="Wingdings" w:hint="default"/>
      </w:rPr>
    </w:lvl>
    <w:lvl w:ilvl="3" w:tplc="6D76A8AA" w:tentative="1">
      <w:start w:val="1"/>
      <w:numFmt w:val="bullet"/>
      <w:lvlText w:val=""/>
      <w:lvlJc w:val="left"/>
      <w:pPr>
        <w:ind w:left="2880" w:hanging="360"/>
      </w:pPr>
      <w:rPr>
        <w:rFonts w:ascii="Symbol" w:hAnsi="Symbol" w:hint="default"/>
      </w:rPr>
    </w:lvl>
    <w:lvl w:ilvl="4" w:tplc="F8A2F242" w:tentative="1">
      <w:start w:val="1"/>
      <w:numFmt w:val="bullet"/>
      <w:lvlText w:val="o"/>
      <w:lvlJc w:val="left"/>
      <w:pPr>
        <w:ind w:left="3600" w:hanging="360"/>
      </w:pPr>
      <w:rPr>
        <w:rFonts w:ascii="Courier New" w:hAnsi="Courier New" w:cs="Courier New" w:hint="default"/>
      </w:rPr>
    </w:lvl>
    <w:lvl w:ilvl="5" w:tplc="539CEE9C" w:tentative="1">
      <w:start w:val="1"/>
      <w:numFmt w:val="bullet"/>
      <w:lvlText w:val=""/>
      <w:lvlJc w:val="left"/>
      <w:pPr>
        <w:ind w:left="4320" w:hanging="360"/>
      </w:pPr>
      <w:rPr>
        <w:rFonts w:ascii="Wingdings" w:hAnsi="Wingdings" w:hint="default"/>
      </w:rPr>
    </w:lvl>
    <w:lvl w:ilvl="6" w:tplc="76CE4204" w:tentative="1">
      <w:start w:val="1"/>
      <w:numFmt w:val="bullet"/>
      <w:lvlText w:val=""/>
      <w:lvlJc w:val="left"/>
      <w:pPr>
        <w:ind w:left="5040" w:hanging="360"/>
      </w:pPr>
      <w:rPr>
        <w:rFonts w:ascii="Symbol" w:hAnsi="Symbol" w:hint="default"/>
      </w:rPr>
    </w:lvl>
    <w:lvl w:ilvl="7" w:tplc="29889D6E" w:tentative="1">
      <w:start w:val="1"/>
      <w:numFmt w:val="bullet"/>
      <w:lvlText w:val="o"/>
      <w:lvlJc w:val="left"/>
      <w:pPr>
        <w:ind w:left="5760" w:hanging="360"/>
      </w:pPr>
      <w:rPr>
        <w:rFonts w:ascii="Courier New" w:hAnsi="Courier New" w:cs="Courier New" w:hint="default"/>
      </w:rPr>
    </w:lvl>
    <w:lvl w:ilvl="8" w:tplc="12E2C7DA" w:tentative="1">
      <w:start w:val="1"/>
      <w:numFmt w:val="bullet"/>
      <w:lvlText w:val=""/>
      <w:lvlJc w:val="left"/>
      <w:pPr>
        <w:ind w:left="6480" w:hanging="360"/>
      </w:pPr>
      <w:rPr>
        <w:rFonts w:ascii="Wingdings" w:hAnsi="Wingdings" w:hint="default"/>
      </w:rPr>
    </w:lvl>
  </w:abstractNum>
  <w:abstractNum w:abstractNumId="1"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3"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9522364">
    <w:abstractNumId w:val="5"/>
  </w:num>
  <w:num w:numId="2" w16cid:durableId="255796650">
    <w:abstractNumId w:val="4"/>
  </w:num>
  <w:num w:numId="3" w16cid:durableId="513885971">
    <w:abstractNumId w:val="2"/>
  </w:num>
  <w:num w:numId="4" w16cid:durableId="1426074936">
    <w:abstractNumId w:val="1"/>
  </w:num>
  <w:num w:numId="5" w16cid:durableId="145172963">
    <w:abstractNumId w:val="3"/>
  </w:num>
  <w:num w:numId="6" w16cid:durableId="297419355">
    <w:abstractNumId w:val="7"/>
  </w:num>
  <w:num w:numId="7" w16cid:durableId="1564830273">
    <w:abstractNumId w:val="6"/>
  </w:num>
  <w:num w:numId="8" w16cid:durableId="48281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0157D"/>
    <w:rsid w:val="000161FA"/>
    <w:rsid w:val="00080918"/>
    <w:rsid w:val="000F4EE7"/>
    <w:rsid w:val="00124043"/>
    <w:rsid w:val="00131643"/>
    <w:rsid w:val="00186DAD"/>
    <w:rsid w:val="001952C1"/>
    <w:rsid w:val="001B675F"/>
    <w:rsid w:val="001C265B"/>
    <w:rsid w:val="001E3A8C"/>
    <w:rsid w:val="002863F4"/>
    <w:rsid w:val="002C27B8"/>
    <w:rsid w:val="00326F97"/>
    <w:rsid w:val="00483849"/>
    <w:rsid w:val="00494F38"/>
    <w:rsid w:val="004B2AFE"/>
    <w:rsid w:val="004E32F5"/>
    <w:rsid w:val="00522128"/>
    <w:rsid w:val="00530C62"/>
    <w:rsid w:val="00552E23"/>
    <w:rsid w:val="005A22A5"/>
    <w:rsid w:val="005D23A1"/>
    <w:rsid w:val="006476CA"/>
    <w:rsid w:val="007B3585"/>
    <w:rsid w:val="00834767"/>
    <w:rsid w:val="00930F7A"/>
    <w:rsid w:val="00944B3E"/>
    <w:rsid w:val="009A4F60"/>
    <w:rsid w:val="00BE383A"/>
    <w:rsid w:val="00D01C39"/>
    <w:rsid w:val="00D03060"/>
    <w:rsid w:val="00D329F8"/>
    <w:rsid w:val="00DF6762"/>
    <w:rsid w:val="00F30DB7"/>
    <w:rsid w:val="00FB2824"/>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00407"/>
  <w15:docId w15:val="{9719777B-8BBB-4C56-A19A-62110AD0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45ED"/>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684C9A"/>
    <w:pPr>
      <w:keepNext/>
      <w:keepLines/>
      <w:pageBreakBefore/>
      <w:spacing w:before="200" w:after="240" w:line="240" w:lineRule="auto"/>
      <w:outlineLvl w:val="1"/>
    </w:pPr>
    <w:rPr>
      <w:b/>
      <w:color w:val="00AABE"/>
      <w:sz w:val="28"/>
      <w:szCs w:val="20"/>
    </w:rPr>
  </w:style>
  <w:style w:type="paragraph" w:styleId="Titre3">
    <w:name w:val="heading 3"/>
    <w:basedOn w:val="Normal"/>
    <w:next w:val="Normal"/>
    <w:autoRedefine/>
    <w:qFormat/>
    <w:rsid w:val="001545ED"/>
    <w:pPr>
      <w:keepNext/>
      <w:keepLines/>
      <w:pageBreakBefore/>
      <w:spacing w:before="120" w:after="200" w:line="240" w:lineRule="auto"/>
      <w:outlineLvl w:val="2"/>
    </w:pPr>
    <w:rPr>
      <w:b/>
      <w:color w:val="005F9A"/>
      <w:sz w:val="24"/>
      <w:szCs w:val="28"/>
    </w:rPr>
  </w:style>
  <w:style w:type="paragraph" w:styleId="Titre4">
    <w:name w:val="heading 4"/>
    <w:basedOn w:val="Normal"/>
    <w:next w:val="Normal"/>
    <w:autoRedefine/>
    <w:qFormat/>
    <w:rsid w:val="00BE3512"/>
    <w:pPr>
      <w:keepNext/>
      <w:keepLines/>
      <w:spacing w:before="200"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00157D"/>
    <w:pPr>
      <w:keepNext/>
      <w:spacing w:before="200" w:after="200" w:line="240" w:lineRule="auto"/>
      <w:contextualSpacing/>
    </w:pPr>
    <w:rPr>
      <w:b/>
      <w:lang w:val="fr-CH" w:eastAsia="fr-CH"/>
    </w:rPr>
  </w:style>
  <w:style w:type="character" w:customStyle="1" w:styleId="section-titleChar">
    <w:name w:val="section-title Char"/>
    <w:link w:val="section-title"/>
    <w:rsid w:val="0000157D"/>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50805"/>
    <w:rPr>
      <w:sz w:val="22"/>
      <w:szCs w:val="22"/>
    </w:rPr>
  </w:style>
  <w:style w:type="character" w:styleId="Marquedecommentaire">
    <w:name w:val="annotation reference"/>
    <w:uiPriority w:val="99"/>
    <w:semiHidden/>
    <w:unhideWhenUsed/>
    <w:rsid w:val="00A23C09"/>
    <w:rPr>
      <w:sz w:val="16"/>
      <w:szCs w:val="16"/>
      <w:lang w:val="fr-FR" w:eastAsia="fr-FR"/>
    </w:rPr>
  </w:style>
  <w:style w:type="paragraph" w:styleId="Commentaire">
    <w:name w:val="annotation text"/>
    <w:basedOn w:val="Normal"/>
    <w:link w:val="CommentaireCar"/>
    <w:uiPriority w:val="99"/>
    <w:unhideWhenUsed/>
    <w:rsid w:val="00A23C09"/>
    <w:pPr>
      <w:spacing w:line="240" w:lineRule="auto"/>
    </w:pPr>
    <w:rPr>
      <w:sz w:val="20"/>
      <w:szCs w:val="20"/>
    </w:rPr>
  </w:style>
  <w:style w:type="character" w:customStyle="1" w:styleId="CommentaireCar">
    <w:name w:val="Commentaire Car"/>
    <w:link w:val="Commentaire"/>
    <w:uiPriority w:val="99"/>
    <w:rsid w:val="00A23C09"/>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23C09"/>
    <w:rPr>
      <w:b/>
      <w:bCs/>
    </w:rPr>
  </w:style>
  <w:style w:type="character" w:customStyle="1" w:styleId="ObjetducommentaireCar">
    <w:name w:val="Objet du commentaire Car"/>
    <w:link w:val="Objetducommentaire"/>
    <w:uiPriority w:val="99"/>
    <w:semiHidden/>
    <w:rsid w:val="00A23C09"/>
    <w:rPr>
      <w:b/>
      <w:bCs/>
      <w:sz w:val="20"/>
      <w:szCs w:val="20"/>
      <w:lang w:val="fr-FR" w:eastAsia="fr-FR"/>
    </w:rPr>
  </w:style>
  <w:style w:type="paragraph" w:styleId="NormalWeb">
    <w:name w:val="Normal (Web)"/>
    <w:basedOn w:val="Normal"/>
    <w:uiPriority w:val="99"/>
    <w:unhideWhenUsed/>
    <w:rsid w:val="00326F97"/>
    <w:pPr>
      <w:spacing w:before="100" w:beforeAutospacing="1" w:after="100" w:afterAutospacing="1" w:line="240" w:lineRule="auto"/>
    </w:pPr>
    <w:rPr>
      <w:rFonts w:ascii="Times New Roman" w:eastAsia="Calibri" w:hAnsi="Times New Roman" w:cs="Times New Roman"/>
      <w:sz w:val="24"/>
      <w:szCs w:val="24"/>
    </w:rPr>
  </w:style>
  <w:style w:type="character" w:styleId="Lienhypertexte">
    <w:name w:val="Hyperlink"/>
    <w:uiPriority w:val="99"/>
    <w:unhideWhenUsed/>
    <w:rsid w:val="00326F97"/>
    <w:rPr>
      <w:color w:val="0563C1"/>
      <w:u w:val="single"/>
      <w:lang w:val="fr-FR" w:eastAsia="fr-FR"/>
    </w:rPr>
  </w:style>
  <w:style w:type="paragraph" w:customStyle="1" w:styleId="Indicator">
    <w:name w:val="Indicator"/>
    <w:basedOn w:val="Titre3"/>
    <w:link w:val="IndicatorChar"/>
    <w:qFormat/>
    <w:rsid w:val="0000157D"/>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00157D"/>
    <w:rPr>
      <w:b/>
      <w:sz w:val="28"/>
      <w:lang w:eastAsia="fr-CH"/>
    </w:rPr>
  </w:style>
  <w:style w:type="paragraph" w:customStyle="1" w:styleId="Dimension">
    <w:name w:val="Dimension"/>
    <w:basedOn w:val="Titre4"/>
    <w:link w:val="DimensionChar"/>
    <w:qFormat/>
    <w:rsid w:val="0000157D"/>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00157D"/>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venice.coe.int/webforms/documents/default.aspx?pdffile=CDL-AD(2002)023rev2-cor-f" TargetMode="External"/><Relationship Id="rId18" Type="http://schemas.openxmlformats.org/officeDocument/2006/relationships/hyperlink" Target="https://www.idea.int/sites/default/files/publications/voting-from-abroad-the-international-idea-handbook.pdf" TargetMode="External"/><Relationship Id="rId26" Type="http://schemas.openxmlformats.org/officeDocument/2006/relationships/hyperlink" Target="https://www.osce.org/files/f/documents/9/3/16859.pdf" TargetMode="External"/><Relationship Id="rId39" Type="http://schemas.openxmlformats.org/officeDocument/2006/relationships/hyperlink" Target="https://www.idea.int/sites/default/files/publications/funding-of-political-parties-and-election-campaigns.pdf" TargetMode="External"/><Relationship Id="rId21" Type="http://schemas.openxmlformats.org/officeDocument/2006/relationships/hyperlink" Target="https://www.idea.int/sites/default/files/publications/electoral-management-design-2014.pdf" TargetMode="External"/><Relationship Id="rId34" Type="http://schemas.openxmlformats.org/officeDocument/2006/relationships/hyperlink" Target="http://archive.ipu.org/PDF/publications/Free&amp;Fair06-f.pdf" TargetMode="External"/><Relationship Id="rId42" Type="http://schemas.openxmlformats.org/officeDocument/2006/relationships/hyperlink" Target="https://www.idea.int/sites/default/files/publications/international-obligations-for-elections.pdf" TargetMode="External"/><Relationship Id="rId47" Type="http://schemas.openxmlformats.org/officeDocument/2006/relationships/hyperlink" Target="https://www.ohchr.org/Documents/Publications/training2en.pdf" TargetMode="External"/><Relationship Id="rId50" Type="http://schemas.openxmlformats.org/officeDocument/2006/relationships/hyperlink" Target="https://www.venice.coe.int/webforms/documents/default.aspx?pdffile=CDL-AD(2002)023rev2-cor-f" TargetMode="External"/><Relationship Id="rId55" Type="http://schemas.openxmlformats.org/officeDocument/2006/relationships/hyperlink" Target="https://www.idea.int/sites/default/files/publications/electoral-management-design-2014.pdf"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dea.int/sites/default/files/publications/international-electoral-standards-guidelines-for-reviewing-the-legal-framework-of-elections.pdf" TargetMode="External"/><Relationship Id="rId29" Type="http://schemas.openxmlformats.org/officeDocument/2006/relationships/hyperlink" Target="https://www.ipu.org/fr/impact/democratie-et-parlements-forts/notre-action-normative/declaration-sur-les-criteres-pour-des-elections-libres-et-regulie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Documents/Publications/training2en.pdf" TargetMode="External"/><Relationship Id="rId24" Type="http://schemas.openxmlformats.org/officeDocument/2006/relationships/hyperlink" Target="https://www.idea.int/sites/default/files/publications/international-obligations-for-elections.pdf" TargetMode="External"/><Relationship Id="rId32" Type="http://schemas.openxmlformats.org/officeDocument/2006/relationships/hyperlink" Target="https://www.venice.coe.int/webforms/documents/default.aspx?pdffile=CDL-AD(2002)023rev2-cor-f" TargetMode="External"/><Relationship Id="rId37" Type="http://schemas.openxmlformats.org/officeDocument/2006/relationships/hyperlink" Target="https://www.idea.int/sites/default/files/publications/electoral-justice-handbook.pdf" TargetMode="External"/><Relationship Id="rId40" Type="http://schemas.openxmlformats.org/officeDocument/2006/relationships/hyperlink" Target="https://www.idea.int/sites/default/files/publications/funding-of-political-parties-and-election-campaigns.pdf" TargetMode="External"/><Relationship Id="rId45" Type="http://schemas.openxmlformats.org/officeDocument/2006/relationships/hyperlink" Target="https://www.osce.org/files/f/documents/9/3/16859.pdf" TargetMode="External"/><Relationship Id="rId53" Type="http://schemas.openxmlformats.org/officeDocument/2006/relationships/hyperlink" Target="https://www.idea.int/sites/default/files/publications/electoral-justice-handbook.pdf" TargetMode="External"/><Relationship Id="rId58" Type="http://schemas.openxmlformats.org/officeDocument/2006/relationships/hyperlink" Target="https://www.idea.int/sites/default/files/publications/international-obligations-for-elections.pdf" TargetMode="External"/><Relationship Id="rId66"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archive.ipu.org/PDF/publications/Free&amp;Fair06-f.pdf" TargetMode="External"/><Relationship Id="rId23" Type="http://schemas.openxmlformats.org/officeDocument/2006/relationships/hyperlink" Target="https://www.idea.int/sites/default/files/publications/international-obligations-for-elections.pdf" TargetMode="External"/><Relationship Id="rId28" Type="http://schemas.openxmlformats.org/officeDocument/2006/relationships/hyperlink" Target="https://www.osce.org/files/f/documents/9/3/16859.pdf" TargetMode="External"/><Relationship Id="rId36" Type="http://schemas.openxmlformats.org/officeDocument/2006/relationships/hyperlink" Target="https://www.idea.int/sites/default/files/publications/international-electoral-standards-guidelines-for-reviewing-the-legal-framework-of-elections.pdf" TargetMode="External"/><Relationship Id="rId49" Type="http://schemas.openxmlformats.org/officeDocument/2006/relationships/hyperlink" Target="https://www.venice.coe.int/webforms/documents/default.aspx?pdffile=CDL-AD(2002)023rev2-cor-f" TargetMode="External"/><Relationship Id="rId57" Type="http://schemas.openxmlformats.org/officeDocument/2006/relationships/hyperlink" Target="https://www.idea.int/sites/default/files/publications/international-obligations-for-elections.pdf" TargetMode="External"/><Relationship Id="rId61" Type="http://schemas.openxmlformats.org/officeDocument/2006/relationships/hyperlink" Target="https://www.osce.org/files/f/documents/9/3/16859.pdf" TargetMode="External"/><Relationship Id="rId10" Type="http://schemas.openxmlformats.org/officeDocument/2006/relationships/hyperlink" Target="https://www.ohchr.org/Documents/Publications/training2en.pdf" TargetMode="External"/><Relationship Id="rId19" Type="http://schemas.openxmlformats.org/officeDocument/2006/relationships/hyperlink" Target="https://www.idea.int/sites/default/files/publications/electoral-justice-handbook.pdf" TargetMode="External"/><Relationship Id="rId31" Type="http://schemas.openxmlformats.org/officeDocument/2006/relationships/hyperlink" Target="https://www.ohchr.org/Documents/Publications/training2en.pdf" TargetMode="External"/><Relationship Id="rId44" Type="http://schemas.openxmlformats.org/officeDocument/2006/relationships/hyperlink" Target="https://www.osce.org/files/f/documents/9/3/16859.pdf" TargetMode="External"/><Relationship Id="rId52" Type="http://schemas.openxmlformats.org/officeDocument/2006/relationships/hyperlink" Target="http://archive.ipu.org/PDF/publications/Free&amp;Fair06-f.pdf" TargetMode="External"/><Relationship Id="rId60" Type="http://schemas.openxmlformats.org/officeDocument/2006/relationships/hyperlink" Target="https://www.osce.org/files/f/documents/9/3/16859.pdf" TargetMode="External"/><Relationship Id="rId65"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Free&amp;Fair06-f.pdf" TargetMode="External"/><Relationship Id="rId22" Type="http://schemas.openxmlformats.org/officeDocument/2006/relationships/hyperlink" Target="https://www.idea.int/sites/default/files/publications/electoral-management-design-2014.pdf" TargetMode="External"/><Relationship Id="rId27" Type="http://schemas.openxmlformats.org/officeDocument/2006/relationships/hyperlink" Target="https://www.osce.org/files/f/documents/9/3/16859.pdf" TargetMode="External"/><Relationship Id="rId30" Type="http://schemas.openxmlformats.org/officeDocument/2006/relationships/hyperlink" Target="https://www.ohchr.org/Documents/Publications/training2en.pdf" TargetMode="External"/><Relationship Id="rId35" Type="http://schemas.openxmlformats.org/officeDocument/2006/relationships/hyperlink" Target="http://archive.ipu.org/PDF/publications/Free&amp;Fair06-f.pdf" TargetMode="External"/><Relationship Id="rId43" Type="http://schemas.openxmlformats.org/officeDocument/2006/relationships/hyperlink" Target="https://www.osce.org/files/f/documents/9/3/16859.pdf" TargetMode="External"/><Relationship Id="rId48" Type="http://schemas.openxmlformats.org/officeDocument/2006/relationships/hyperlink" Target="https://www.ohchr.org/Documents/Publications/training2en.pdf" TargetMode="External"/><Relationship Id="rId56" Type="http://schemas.openxmlformats.org/officeDocument/2006/relationships/hyperlink" Target="https://www.idea.int/sites/default/files/publications/electoral-management-design-2014.pdf"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archive.ipu.org/PDF/publications/Free&amp;Fair06-f.pdf" TargetMode="External"/><Relationship Id="rId3" Type="http://schemas.openxmlformats.org/officeDocument/2006/relationships/customXml" Target="../customXml/item3.xml"/><Relationship Id="rId12" Type="http://schemas.openxmlformats.org/officeDocument/2006/relationships/hyperlink" Target="https://www.venice.coe.int/webforms/documents/default.aspx?pdffile=CDL-AD(2002)023rev2-cor-f" TargetMode="External"/><Relationship Id="rId17" Type="http://schemas.openxmlformats.org/officeDocument/2006/relationships/hyperlink" Target="https://www.idea.int/sites/default/files/publications/voting-from-abroad-the-international-idea-handbook.pdf" TargetMode="External"/><Relationship Id="rId25" Type="http://schemas.openxmlformats.org/officeDocument/2006/relationships/hyperlink" Target="http://archive.ipu.org/pdf/publications/atlas-en.pdf" TargetMode="External"/><Relationship Id="rId33" Type="http://schemas.openxmlformats.org/officeDocument/2006/relationships/hyperlink" Target="https://www.venice.coe.int/webforms/documents/default.aspx?pdffile=CDL-AD(2002)023rev2-cor-f" TargetMode="External"/><Relationship Id="rId38" Type="http://schemas.openxmlformats.org/officeDocument/2006/relationships/hyperlink" Target="https://www.idea.int/sites/default/files/publications/electoral-justice-handbook.pdf" TargetMode="External"/><Relationship Id="rId46" Type="http://schemas.openxmlformats.org/officeDocument/2006/relationships/hyperlink" Target="https://www.ipu.org/fr/impact/democratie-et-parlements-forts/notre-action-normative/declaration-sur-les-criteres-pour-des-elections-libres-et-regulieres" TargetMode="External"/><Relationship Id="rId59" Type="http://schemas.openxmlformats.org/officeDocument/2006/relationships/hyperlink" Target="https://www.osce.org/files/f/documents/9/3/16859.pdf" TargetMode="External"/><Relationship Id="rId67" Type="http://schemas.openxmlformats.org/officeDocument/2006/relationships/fontTable" Target="fontTable.xml"/><Relationship Id="rId20" Type="http://schemas.openxmlformats.org/officeDocument/2006/relationships/hyperlink" Target="https://www.idea.int/sites/default/files/publications/electoral-justice-handbook.pdf" TargetMode="External"/><Relationship Id="rId41" Type="http://schemas.openxmlformats.org/officeDocument/2006/relationships/hyperlink" Target="https://www.idea.int/sites/default/files/publications/international-obligations-for-elections.pdf" TargetMode="External"/><Relationship Id="rId54" Type="http://schemas.openxmlformats.org/officeDocument/2006/relationships/hyperlink" Target="https://www.idea.int/sites/default/files/publications/electoral-justice-handbook.pdf" TargetMode="External"/><Relationship Id="rId62" Type="http://schemas.openxmlformats.org/officeDocument/2006/relationships/hyperlink" Target="https://www.ipu.org/fr/impact/democratie-et-parlements-forts/notre-action-normative/declaration-sur-les-criteres-pour-des-elections-libres-et-regulier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54DEB05C-D72B-4E20-8F3F-ACB55F26D4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3793</Words>
  <Characters>20865</Characters>
  <Application>Microsoft Office Word</Application>
  <DocSecurity>0</DocSecurity>
  <Lines>173</Lines>
  <Paragraphs>49</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Indicator 7.1: Electoral integrity</vt:lpstr>
      <vt:lpstr>        Dimension 7.1.1: Voting and election rights</vt:lpstr>
      <vt:lpstr>        Dimension 7.1.2: Candidacy, party and campaign rights and responsibilities</vt:lpstr>
      <vt:lpstr>        Dimension 7.1.3: Role of public authorities in elections</vt:lpstr>
    </vt:vector>
  </TitlesOfParts>
  <Company/>
  <LinksUpToDate>false</LinksUpToDate>
  <CharactersWithSpaces>24609</CharactersWithSpaces>
  <SharedDoc>false</SharedDoc>
  <HLinks>
    <vt:vector size="318" baseType="variant">
      <vt:variant>
        <vt:i4>5374025</vt:i4>
      </vt:variant>
      <vt:variant>
        <vt:i4>156</vt:i4>
      </vt:variant>
      <vt:variant>
        <vt:i4>0</vt:i4>
      </vt:variant>
      <vt:variant>
        <vt:i4>5</vt:i4>
      </vt:variant>
      <vt:variant>
        <vt:lpwstr>https://www.ohchr.org/Documents/Publications/training2en.pdf</vt:lpwstr>
      </vt:variant>
      <vt:variant>
        <vt:lpwstr/>
      </vt:variant>
      <vt:variant>
        <vt:i4>5374025</vt:i4>
      </vt:variant>
      <vt:variant>
        <vt:i4>153</vt:i4>
      </vt:variant>
      <vt:variant>
        <vt:i4>0</vt:i4>
      </vt:variant>
      <vt:variant>
        <vt:i4>5</vt:i4>
      </vt:variant>
      <vt:variant>
        <vt:lpwstr>https://www.ohchr.org/Documents/Publications/training2en.pdf</vt:lpwstr>
      </vt:variant>
      <vt:variant>
        <vt:lpwstr/>
      </vt:variant>
      <vt:variant>
        <vt:i4>1179742</vt:i4>
      </vt:variant>
      <vt:variant>
        <vt:i4>150</vt:i4>
      </vt:variant>
      <vt:variant>
        <vt:i4>0</vt:i4>
      </vt:variant>
      <vt:variant>
        <vt:i4>5</vt:i4>
      </vt:variant>
      <vt:variant>
        <vt:lpwstr>https://www.osce.org/files/f/documents/9/3/16859.pdf</vt:lpwstr>
      </vt:variant>
      <vt:variant>
        <vt:lpwstr/>
      </vt:variant>
      <vt:variant>
        <vt:i4>1179742</vt:i4>
      </vt:variant>
      <vt:variant>
        <vt:i4>147</vt:i4>
      </vt:variant>
      <vt:variant>
        <vt:i4>0</vt:i4>
      </vt:variant>
      <vt:variant>
        <vt:i4>5</vt:i4>
      </vt:variant>
      <vt:variant>
        <vt:lpwstr>https://www.osce.org/files/f/documents/9/3/16859.pdf</vt:lpwstr>
      </vt:variant>
      <vt:variant>
        <vt:lpwstr/>
      </vt:variant>
      <vt:variant>
        <vt:i4>1179742</vt:i4>
      </vt:variant>
      <vt:variant>
        <vt:i4>144</vt:i4>
      </vt:variant>
      <vt:variant>
        <vt:i4>0</vt:i4>
      </vt:variant>
      <vt:variant>
        <vt:i4>5</vt:i4>
      </vt:variant>
      <vt:variant>
        <vt:lpwstr>https://www.osce.org/files/f/documents/9/3/16859.pdf</vt:lpwstr>
      </vt:variant>
      <vt:variant>
        <vt:lpwstr/>
      </vt:variant>
      <vt:variant>
        <vt:i4>5701654</vt:i4>
      </vt:variant>
      <vt:variant>
        <vt:i4>141</vt:i4>
      </vt:variant>
      <vt:variant>
        <vt:i4>0</vt:i4>
      </vt:variant>
      <vt:variant>
        <vt:i4>5</vt:i4>
      </vt:variant>
      <vt:variant>
        <vt:lpwstr>https://www.ipu.org/our-impact/strong-parliaments/setting-standards/declaration-criteria-free-and-fair-elections</vt:lpwstr>
      </vt:variant>
      <vt:variant>
        <vt:lpwstr/>
      </vt:variant>
      <vt:variant>
        <vt:i4>1966099</vt:i4>
      </vt:variant>
      <vt:variant>
        <vt:i4>138</vt:i4>
      </vt:variant>
      <vt:variant>
        <vt:i4>0</vt:i4>
      </vt:variant>
      <vt:variant>
        <vt:i4>5</vt:i4>
      </vt:variant>
      <vt:variant>
        <vt:lpwstr>https://www.idea.int/sites/default/files/publications/international-obligations-for-elections.pdf</vt:lpwstr>
      </vt:variant>
      <vt:variant>
        <vt:lpwstr/>
      </vt:variant>
      <vt:variant>
        <vt:i4>1966099</vt:i4>
      </vt:variant>
      <vt:variant>
        <vt:i4>135</vt:i4>
      </vt:variant>
      <vt:variant>
        <vt:i4>0</vt:i4>
      </vt:variant>
      <vt:variant>
        <vt:i4>5</vt:i4>
      </vt:variant>
      <vt:variant>
        <vt:lpwstr>https://www.idea.int/sites/default/files/publications/international-obligations-for-elections.pdf</vt:lpwstr>
      </vt:variant>
      <vt:variant>
        <vt:lpwstr/>
      </vt:variant>
      <vt:variant>
        <vt:i4>8061053</vt:i4>
      </vt:variant>
      <vt:variant>
        <vt:i4>132</vt:i4>
      </vt:variant>
      <vt:variant>
        <vt:i4>0</vt:i4>
      </vt:variant>
      <vt:variant>
        <vt:i4>5</vt:i4>
      </vt:variant>
      <vt:variant>
        <vt:lpwstr>https://www.idea.int/sites/default/files/publications/electoral-management-design-2014.pdf</vt:lpwstr>
      </vt:variant>
      <vt:variant>
        <vt:lpwstr/>
      </vt:variant>
      <vt:variant>
        <vt:i4>8061053</vt:i4>
      </vt:variant>
      <vt:variant>
        <vt:i4>129</vt:i4>
      </vt:variant>
      <vt:variant>
        <vt:i4>0</vt:i4>
      </vt:variant>
      <vt:variant>
        <vt:i4>5</vt:i4>
      </vt:variant>
      <vt:variant>
        <vt:lpwstr>https://www.idea.int/sites/default/files/publications/electoral-management-design-2014.pdf</vt:lpwstr>
      </vt:variant>
      <vt:variant>
        <vt:lpwstr/>
      </vt:variant>
      <vt:variant>
        <vt:i4>1572936</vt:i4>
      </vt:variant>
      <vt:variant>
        <vt:i4>126</vt:i4>
      </vt:variant>
      <vt:variant>
        <vt:i4>0</vt:i4>
      </vt:variant>
      <vt:variant>
        <vt:i4>5</vt:i4>
      </vt:variant>
      <vt:variant>
        <vt:lpwstr>https://www.idea.int/sites/default/files/publications/electoral-justice-handbook.pdf</vt:lpwstr>
      </vt:variant>
      <vt:variant>
        <vt:lpwstr/>
      </vt:variant>
      <vt:variant>
        <vt:i4>1572936</vt:i4>
      </vt:variant>
      <vt:variant>
        <vt:i4>123</vt:i4>
      </vt:variant>
      <vt:variant>
        <vt:i4>0</vt:i4>
      </vt:variant>
      <vt:variant>
        <vt:i4>5</vt:i4>
      </vt:variant>
      <vt:variant>
        <vt:lpwstr>https://www.idea.int/sites/default/files/publications/electoral-justice-handbook.pdf</vt:lpwstr>
      </vt:variant>
      <vt:variant>
        <vt:lpwstr/>
      </vt:variant>
      <vt:variant>
        <vt:i4>5898244</vt:i4>
      </vt:variant>
      <vt:variant>
        <vt:i4>120</vt:i4>
      </vt:variant>
      <vt:variant>
        <vt:i4>0</vt:i4>
      </vt:variant>
      <vt:variant>
        <vt:i4>5</vt:i4>
      </vt:variant>
      <vt:variant>
        <vt:lpwstr>http://archive.ipu.org/PDF/publications/Free&amp;Fair06-e.pdf</vt:lpwstr>
      </vt:variant>
      <vt:variant>
        <vt:lpwstr/>
      </vt:variant>
      <vt:variant>
        <vt:i4>5898244</vt:i4>
      </vt:variant>
      <vt:variant>
        <vt:i4>117</vt:i4>
      </vt:variant>
      <vt:variant>
        <vt:i4>0</vt:i4>
      </vt:variant>
      <vt:variant>
        <vt:i4>5</vt:i4>
      </vt:variant>
      <vt:variant>
        <vt:lpwstr>http://archive.ipu.org/PDF/publications/Free&amp;Fair06-e.pdf</vt:lpwstr>
      </vt:variant>
      <vt:variant>
        <vt:lpwstr/>
      </vt:variant>
      <vt:variant>
        <vt:i4>1376321</vt:i4>
      </vt:variant>
      <vt:variant>
        <vt:i4>114</vt:i4>
      </vt:variant>
      <vt:variant>
        <vt:i4>0</vt:i4>
      </vt:variant>
      <vt:variant>
        <vt:i4>5</vt:i4>
      </vt:variant>
      <vt:variant>
        <vt:lpwstr>https://www.venice.coe.int/webforms/documents/default.aspx?pdffile=CDL-AD(2002)023rev2-cor-e</vt:lpwstr>
      </vt:variant>
      <vt:variant>
        <vt:lpwstr/>
      </vt:variant>
      <vt:variant>
        <vt:i4>1376321</vt:i4>
      </vt:variant>
      <vt:variant>
        <vt:i4>111</vt:i4>
      </vt:variant>
      <vt:variant>
        <vt:i4>0</vt:i4>
      </vt:variant>
      <vt:variant>
        <vt:i4>5</vt:i4>
      </vt:variant>
      <vt:variant>
        <vt:lpwstr>https://www.venice.coe.int/webforms/documents/default.aspx?pdffile=CDL-AD(2002)023rev2-cor-e</vt:lpwstr>
      </vt:variant>
      <vt:variant>
        <vt:lpwstr/>
      </vt:variant>
      <vt:variant>
        <vt:i4>5374025</vt:i4>
      </vt:variant>
      <vt:variant>
        <vt:i4>108</vt:i4>
      </vt:variant>
      <vt:variant>
        <vt:i4>0</vt:i4>
      </vt:variant>
      <vt:variant>
        <vt:i4>5</vt:i4>
      </vt:variant>
      <vt:variant>
        <vt:lpwstr>https://www.ohchr.org/Documents/Publications/training2en.pdf</vt:lpwstr>
      </vt:variant>
      <vt:variant>
        <vt:lpwstr/>
      </vt:variant>
      <vt:variant>
        <vt:i4>5374025</vt:i4>
      </vt:variant>
      <vt:variant>
        <vt:i4>105</vt:i4>
      </vt:variant>
      <vt:variant>
        <vt:i4>0</vt:i4>
      </vt:variant>
      <vt:variant>
        <vt:i4>5</vt:i4>
      </vt:variant>
      <vt:variant>
        <vt:lpwstr>https://www.ohchr.org/Documents/Publications/training2en.pdf</vt:lpwstr>
      </vt:variant>
      <vt:variant>
        <vt:lpwstr/>
      </vt:variant>
      <vt:variant>
        <vt:i4>1179742</vt:i4>
      </vt:variant>
      <vt:variant>
        <vt:i4>102</vt:i4>
      </vt:variant>
      <vt:variant>
        <vt:i4>0</vt:i4>
      </vt:variant>
      <vt:variant>
        <vt:i4>5</vt:i4>
      </vt:variant>
      <vt:variant>
        <vt:lpwstr>https://www.osce.org/files/f/documents/9/3/16859.pdf</vt:lpwstr>
      </vt:variant>
      <vt:variant>
        <vt:lpwstr/>
      </vt:variant>
      <vt:variant>
        <vt:i4>1179742</vt:i4>
      </vt:variant>
      <vt:variant>
        <vt:i4>99</vt:i4>
      </vt:variant>
      <vt:variant>
        <vt:i4>0</vt:i4>
      </vt:variant>
      <vt:variant>
        <vt:i4>5</vt:i4>
      </vt:variant>
      <vt:variant>
        <vt:lpwstr>https://www.osce.org/files/f/documents/9/3/16859.pdf</vt:lpwstr>
      </vt:variant>
      <vt:variant>
        <vt:lpwstr/>
      </vt:variant>
      <vt:variant>
        <vt:i4>1179742</vt:i4>
      </vt:variant>
      <vt:variant>
        <vt:i4>96</vt:i4>
      </vt:variant>
      <vt:variant>
        <vt:i4>0</vt:i4>
      </vt:variant>
      <vt:variant>
        <vt:i4>5</vt:i4>
      </vt:variant>
      <vt:variant>
        <vt:lpwstr>https://www.osce.org/files/f/documents/9/3/16859.pdf</vt:lpwstr>
      </vt:variant>
      <vt:variant>
        <vt:lpwstr/>
      </vt:variant>
      <vt:variant>
        <vt:i4>5701654</vt:i4>
      </vt:variant>
      <vt:variant>
        <vt:i4>93</vt:i4>
      </vt:variant>
      <vt:variant>
        <vt:i4>0</vt:i4>
      </vt:variant>
      <vt:variant>
        <vt:i4>5</vt:i4>
      </vt:variant>
      <vt:variant>
        <vt:lpwstr>https://www.ipu.org/our-impact/strong-parliaments/setting-standards/declaration-criteria-free-and-fair-elections</vt:lpwstr>
      </vt:variant>
      <vt:variant>
        <vt:lpwstr/>
      </vt:variant>
      <vt:variant>
        <vt:i4>4718604</vt:i4>
      </vt:variant>
      <vt:variant>
        <vt:i4>90</vt:i4>
      </vt:variant>
      <vt:variant>
        <vt:i4>0</vt:i4>
      </vt:variant>
      <vt:variant>
        <vt:i4>5</vt:i4>
      </vt:variant>
      <vt:variant>
        <vt:lpwstr>https://www.idea.int/sites/default/files/publications/funding-of-political-parties-and-election-campaigns.pdf</vt:lpwstr>
      </vt:variant>
      <vt:variant>
        <vt:lpwstr/>
      </vt:variant>
      <vt:variant>
        <vt:i4>4718604</vt:i4>
      </vt:variant>
      <vt:variant>
        <vt:i4>87</vt:i4>
      </vt:variant>
      <vt:variant>
        <vt:i4>0</vt:i4>
      </vt:variant>
      <vt:variant>
        <vt:i4>5</vt:i4>
      </vt:variant>
      <vt:variant>
        <vt:lpwstr>https://www.idea.int/sites/default/files/publications/funding-of-political-parties-and-election-campaigns.pdf</vt:lpwstr>
      </vt:variant>
      <vt:variant>
        <vt:lpwstr/>
      </vt:variant>
      <vt:variant>
        <vt:i4>1966099</vt:i4>
      </vt:variant>
      <vt:variant>
        <vt:i4>84</vt:i4>
      </vt:variant>
      <vt:variant>
        <vt:i4>0</vt:i4>
      </vt:variant>
      <vt:variant>
        <vt:i4>5</vt:i4>
      </vt:variant>
      <vt:variant>
        <vt:lpwstr>https://www.idea.int/sites/default/files/publications/international-obligations-for-elections.pdf</vt:lpwstr>
      </vt:variant>
      <vt:variant>
        <vt:lpwstr/>
      </vt:variant>
      <vt:variant>
        <vt:i4>1966099</vt:i4>
      </vt:variant>
      <vt:variant>
        <vt:i4>81</vt:i4>
      </vt:variant>
      <vt:variant>
        <vt:i4>0</vt:i4>
      </vt:variant>
      <vt:variant>
        <vt:i4>5</vt:i4>
      </vt:variant>
      <vt:variant>
        <vt:lpwstr>https://www.idea.int/sites/default/files/publications/international-obligations-for-elections.pdf</vt:lpwstr>
      </vt:variant>
      <vt:variant>
        <vt:lpwstr/>
      </vt:variant>
      <vt:variant>
        <vt:i4>1572936</vt:i4>
      </vt:variant>
      <vt:variant>
        <vt:i4>78</vt:i4>
      </vt:variant>
      <vt:variant>
        <vt:i4>0</vt:i4>
      </vt:variant>
      <vt:variant>
        <vt:i4>5</vt:i4>
      </vt:variant>
      <vt:variant>
        <vt:lpwstr>https://www.idea.int/sites/default/files/publications/electoral-justice-handbook.pdf</vt:lpwstr>
      </vt:variant>
      <vt:variant>
        <vt:lpwstr/>
      </vt:variant>
      <vt:variant>
        <vt:i4>1572936</vt:i4>
      </vt:variant>
      <vt:variant>
        <vt:i4>75</vt:i4>
      </vt:variant>
      <vt:variant>
        <vt:i4>0</vt:i4>
      </vt:variant>
      <vt:variant>
        <vt:i4>5</vt:i4>
      </vt:variant>
      <vt:variant>
        <vt:lpwstr>https://www.idea.int/sites/default/files/publications/electoral-justice-handbook.pdf</vt:lpwstr>
      </vt:variant>
      <vt:variant>
        <vt:lpwstr/>
      </vt:variant>
      <vt:variant>
        <vt:i4>4915227</vt:i4>
      </vt:variant>
      <vt:variant>
        <vt:i4>72</vt:i4>
      </vt:variant>
      <vt:variant>
        <vt:i4>0</vt:i4>
      </vt:variant>
      <vt:variant>
        <vt:i4>5</vt:i4>
      </vt:variant>
      <vt:variant>
        <vt:lpwstr>https://www.idea.int/sites/default/files/publications/international-electoral-standards-guidelines-for-reviewing-the-legal-framework-of-elections.pdf</vt:lpwstr>
      </vt:variant>
      <vt:variant>
        <vt:lpwstr/>
      </vt:variant>
      <vt:variant>
        <vt:i4>5898244</vt:i4>
      </vt:variant>
      <vt:variant>
        <vt:i4>69</vt:i4>
      </vt:variant>
      <vt:variant>
        <vt:i4>0</vt:i4>
      </vt:variant>
      <vt:variant>
        <vt:i4>5</vt:i4>
      </vt:variant>
      <vt:variant>
        <vt:lpwstr>http://archive.ipu.org/PDF/publications/Free&amp;Fair06-e.pdf</vt:lpwstr>
      </vt:variant>
      <vt:variant>
        <vt:lpwstr/>
      </vt:variant>
      <vt:variant>
        <vt:i4>5898244</vt:i4>
      </vt:variant>
      <vt:variant>
        <vt:i4>66</vt:i4>
      </vt:variant>
      <vt:variant>
        <vt:i4>0</vt:i4>
      </vt:variant>
      <vt:variant>
        <vt:i4>5</vt:i4>
      </vt:variant>
      <vt:variant>
        <vt:lpwstr>http://archive.ipu.org/PDF/publications/Free&amp;Fair06-e.pdf</vt:lpwstr>
      </vt:variant>
      <vt:variant>
        <vt:lpwstr/>
      </vt:variant>
      <vt:variant>
        <vt:i4>1376321</vt:i4>
      </vt:variant>
      <vt:variant>
        <vt:i4>63</vt:i4>
      </vt:variant>
      <vt:variant>
        <vt:i4>0</vt:i4>
      </vt:variant>
      <vt:variant>
        <vt:i4>5</vt:i4>
      </vt:variant>
      <vt:variant>
        <vt:lpwstr>https://www.venice.coe.int/webforms/documents/default.aspx?pdffile=CDL-AD(2002)023rev2-cor-e</vt:lpwstr>
      </vt:variant>
      <vt:variant>
        <vt:lpwstr/>
      </vt:variant>
      <vt:variant>
        <vt:i4>1376321</vt:i4>
      </vt:variant>
      <vt:variant>
        <vt:i4>60</vt:i4>
      </vt:variant>
      <vt:variant>
        <vt:i4>0</vt:i4>
      </vt:variant>
      <vt:variant>
        <vt:i4>5</vt:i4>
      </vt:variant>
      <vt:variant>
        <vt:lpwstr>https://www.venice.coe.int/webforms/documents/default.aspx?pdffile=CDL-AD(2002)023rev2-cor-e</vt:lpwstr>
      </vt:variant>
      <vt:variant>
        <vt:lpwstr/>
      </vt:variant>
      <vt:variant>
        <vt:i4>5374025</vt:i4>
      </vt:variant>
      <vt:variant>
        <vt:i4>57</vt:i4>
      </vt:variant>
      <vt:variant>
        <vt:i4>0</vt:i4>
      </vt:variant>
      <vt:variant>
        <vt:i4>5</vt:i4>
      </vt:variant>
      <vt:variant>
        <vt:lpwstr>https://www.ohchr.org/Documents/Publications/training2en.pdf</vt:lpwstr>
      </vt:variant>
      <vt:variant>
        <vt:lpwstr/>
      </vt:variant>
      <vt:variant>
        <vt:i4>5374025</vt:i4>
      </vt:variant>
      <vt:variant>
        <vt:i4>54</vt:i4>
      </vt:variant>
      <vt:variant>
        <vt:i4>0</vt:i4>
      </vt:variant>
      <vt:variant>
        <vt:i4>5</vt:i4>
      </vt:variant>
      <vt:variant>
        <vt:lpwstr>https://www.ohchr.org/Documents/Publications/training2en.pdf</vt:lpwstr>
      </vt:variant>
      <vt:variant>
        <vt:lpwstr/>
      </vt:variant>
      <vt:variant>
        <vt:i4>1179742</vt:i4>
      </vt:variant>
      <vt:variant>
        <vt:i4>51</vt:i4>
      </vt:variant>
      <vt:variant>
        <vt:i4>0</vt:i4>
      </vt:variant>
      <vt:variant>
        <vt:i4>5</vt:i4>
      </vt:variant>
      <vt:variant>
        <vt:lpwstr>https://www.osce.org/files/f/documents/9/3/16859.pdf</vt:lpwstr>
      </vt:variant>
      <vt:variant>
        <vt:lpwstr/>
      </vt:variant>
      <vt:variant>
        <vt:i4>1179742</vt:i4>
      </vt:variant>
      <vt:variant>
        <vt:i4>48</vt:i4>
      </vt:variant>
      <vt:variant>
        <vt:i4>0</vt:i4>
      </vt:variant>
      <vt:variant>
        <vt:i4>5</vt:i4>
      </vt:variant>
      <vt:variant>
        <vt:lpwstr>https://www.osce.org/files/f/documents/9/3/16859.pdf</vt:lpwstr>
      </vt:variant>
      <vt:variant>
        <vt:lpwstr/>
      </vt:variant>
      <vt:variant>
        <vt:i4>1179742</vt:i4>
      </vt:variant>
      <vt:variant>
        <vt:i4>45</vt:i4>
      </vt:variant>
      <vt:variant>
        <vt:i4>0</vt:i4>
      </vt:variant>
      <vt:variant>
        <vt:i4>5</vt:i4>
      </vt:variant>
      <vt:variant>
        <vt:lpwstr>https://www.osce.org/files/f/documents/9/3/16859.pdf</vt:lpwstr>
      </vt:variant>
      <vt:variant>
        <vt:lpwstr/>
      </vt:variant>
      <vt:variant>
        <vt:i4>5701654</vt:i4>
      </vt:variant>
      <vt:variant>
        <vt:i4>42</vt:i4>
      </vt:variant>
      <vt:variant>
        <vt:i4>0</vt:i4>
      </vt:variant>
      <vt:variant>
        <vt:i4>5</vt:i4>
      </vt:variant>
      <vt:variant>
        <vt:lpwstr>https://www.ipu.org/our-impact/strong-parliaments/setting-standards/declaration-criteria-free-and-fair-elections</vt:lpwstr>
      </vt:variant>
      <vt:variant>
        <vt:lpwstr/>
      </vt:variant>
      <vt:variant>
        <vt:i4>5570624</vt:i4>
      </vt:variant>
      <vt:variant>
        <vt:i4>39</vt:i4>
      </vt:variant>
      <vt:variant>
        <vt:i4>0</vt:i4>
      </vt:variant>
      <vt:variant>
        <vt:i4>5</vt:i4>
      </vt:variant>
      <vt:variant>
        <vt:lpwstr>http://archive.ipu.org/pdf/publications/atlas-en.pdf</vt:lpwstr>
      </vt:variant>
      <vt:variant>
        <vt:lpwstr/>
      </vt:variant>
      <vt:variant>
        <vt:i4>1966099</vt:i4>
      </vt:variant>
      <vt:variant>
        <vt:i4>36</vt:i4>
      </vt:variant>
      <vt:variant>
        <vt:i4>0</vt:i4>
      </vt:variant>
      <vt:variant>
        <vt:i4>5</vt:i4>
      </vt:variant>
      <vt:variant>
        <vt:lpwstr>https://www.idea.int/sites/default/files/publications/international-obligations-for-elections.pdf</vt:lpwstr>
      </vt:variant>
      <vt:variant>
        <vt:lpwstr/>
      </vt:variant>
      <vt:variant>
        <vt:i4>1966099</vt:i4>
      </vt:variant>
      <vt:variant>
        <vt:i4>33</vt:i4>
      </vt:variant>
      <vt:variant>
        <vt:i4>0</vt:i4>
      </vt:variant>
      <vt:variant>
        <vt:i4>5</vt:i4>
      </vt:variant>
      <vt:variant>
        <vt:lpwstr>https://www.idea.int/sites/default/files/publications/international-obligations-for-elections.pdf</vt:lpwstr>
      </vt:variant>
      <vt:variant>
        <vt:lpwstr/>
      </vt:variant>
      <vt:variant>
        <vt:i4>8061053</vt:i4>
      </vt:variant>
      <vt:variant>
        <vt:i4>30</vt:i4>
      </vt:variant>
      <vt:variant>
        <vt:i4>0</vt:i4>
      </vt:variant>
      <vt:variant>
        <vt:i4>5</vt:i4>
      </vt:variant>
      <vt:variant>
        <vt:lpwstr>https://www.idea.int/sites/default/files/publications/electoral-management-design-2014.pdf</vt:lpwstr>
      </vt:variant>
      <vt:variant>
        <vt:lpwstr/>
      </vt:variant>
      <vt:variant>
        <vt:i4>8061053</vt:i4>
      </vt:variant>
      <vt:variant>
        <vt:i4>27</vt:i4>
      </vt:variant>
      <vt:variant>
        <vt:i4>0</vt:i4>
      </vt:variant>
      <vt:variant>
        <vt:i4>5</vt:i4>
      </vt:variant>
      <vt:variant>
        <vt:lpwstr>https://www.idea.int/sites/default/files/publications/electoral-management-design-2014.pdf</vt:lpwstr>
      </vt:variant>
      <vt:variant>
        <vt:lpwstr/>
      </vt:variant>
      <vt:variant>
        <vt:i4>1572936</vt:i4>
      </vt:variant>
      <vt:variant>
        <vt:i4>24</vt:i4>
      </vt:variant>
      <vt:variant>
        <vt:i4>0</vt:i4>
      </vt:variant>
      <vt:variant>
        <vt:i4>5</vt:i4>
      </vt:variant>
      <vt:variant>
        <vt:lpwstr>https://www.idea.int/sites/default/files/publications/electoral-justice-handbook.pdf</vt:lpwstr>
      </vt:variant>
      <vt:variant>
        <vt:lpwstr/>
      </vt:variant>
      <vt:variant>
        <vt:i4>1572936</vt:i4>
      </vt:variant>
      <vt:variant>
        <vt:i4>21</vt:i4>
      </vt:variant>
      <vt:variant>
        <vt:i4>0</vt:i4>
      </vt:variant>
      <vt:variant>
        <vt:i4>5</vt:i4>
      </vt:variant>
      <vt:variant>
        <vt:lpwstr>https://www.idea.int/sites/default/files/publications/electoral-justice-handbook.pdf</vt:lpwstr>
      </vt:variant>
      <vt:variant>
        <vt:lpwstr/>
      </vt:variant>
      <vt:variant>
        <vt:i4>131140</vt:i4>
      </vt:variant>
      <vt:variant>
        <vt:i4>18</vt:i4>
      </vt:variant>
      <vt:variant>
        <vt:i4>0</vt:i4>
      </vt:variant>
      <vt:variant>
        <vt:i4>5</vt:i4>
      </vt:variant>
      <vt:variant>
        <vt:lpwstr>https://www.idea.int/sites/default/files/publications/voting-from-abroad-the-international-idea-handbook.pdf</vt:lpwstr>
      </vt:variant>
      <vt:variant>
        <vt:lpwstr/>
      </vt:variant>
      <vt:variant>
        <vt:i4>131140</vt:i4>
      </vt:variant>
      <vt:variant>
        <vt:i4>15</vt:i4>
      </vt:variant>
      <vt:variant>
        <vt:i4>0</vt:i4>
      </vt:variant>
      <vt:variant>
        <vt:i4>5</vt:i4>
      </vt:variant>
      <vt:variant>
        <vt:lpwstr>https://www.idea.int/sites/default/files/publications/voting-from-abroad-the-international-idea-handbook.pdf</vt:lpwstr>
      </vt:variant>
      <vt:variant>
        <vt:lpwstr/>
      </vt:variant>
      <vt:variant>
        <vt:i4>4915227</vt:i4>
      </vt:variant>
      <vt:variant>
        <vt:i4>12</vt:i4>
      </vt:variant>
      <vt:variant>
        <vt:i4>0</vt:i4>
      </vt:variant>
      <vt:variant>
        <vt:i4>5</vt:i4>
      </vt:variant>
      <vt:variant>
        <vt:lpwstr>https://www.idea.int/sites/default/files/publications/international-electoral-standards-guidelines-for-reviewing-the-legal-framework-of-elections.pdf</vt:lpwstr>
      </vt:variant>
      <vt:variant>
        <vt:lpwstr/>
      </vt:variant>
      <vt:variant>
        <vt:i4>5898244</vt:i4>
      </vt:variant>
      <vt:variant>
        <vt:i4>9</vt:i4>
      </vt:variant>
      <vt:variant>
        <vt:i4>0</vt:i4>
      </vt:variant>
      <vt:variant>
        <vt:i4>5</vt:i4>
      </vt:variant>
      <vt:variant>
        <vt:lpwstr>http://archive.ipu.org/PDF/publications/Free&amp;Fair06-e.pdf</vt:lpwstr>
      </vt:variant>
      <vt:variant>
        <vt:lpwstr/>
      </vt:variant>
      <vt:variant>
        <vt:i4>5898244</vt:i4>
      </vt:variant>
      <vt:variant>
        <vt:i4>6</vt:i4>
      </vt:variant>
      <vt:variant>
        <vt:i4>0</vt:i4>
      </vt:variant>
      <vt:variant>
        <vt:i4>5</vt:i4>
      </vt:variant>
      <vt:variant>
        <vt:lpwstr>http://archive.ipu.org/PDF/publications/Free&amp;Fair06-e.pdf</vt:lpwstr>
      </vt:variant>
      <vt:variant>
        <vt:lpwstr/>
      </vt:variant>
      <vt:variant>
        <vt:i4>1376321</vt:i4>
      </vt:variant>
      <vt:variant>
        <vt:i4>3</vt:i4>
      </vt:variant>
      <vt:variant>
        <vt:i4>0</vt:i4>
      </vt:variant>
      <vt:variant>
        <vt:i4>5</vt:i4>
      </vt:variant>
      <vt:variant>
        <vt:lpwstr>https://www.venice.coe.int/webforms/documents/default.aspx?pdffile=CDL-AD(2002)023rev2-cor-e</vt:lpwstr>
      </vt:variant>
      <vt:variant>
        <vt:lpwstr/>
      </vt:variant>
      <vt:variant>
        <vt:i4>1376321</vt:i4>
      </vt:variant>
      <vt:variant>
        <vt:i4>0</vt:i4>
      </vt:variant>
      <vt:variant>
        <vt:i4>0</vt:i4>
      </vt:variant>
      <vt:variant>
        <vt:i4>5</vt:i4>
      </vt:variant>
      <vt:variant>
        <vt:lpwstr>https://www.venice.coe.int/webforms/documents/default.aspx?pdffile=CDL-AD(2002)023rev2-cor-e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13</cp:revision>
  <dcterms:created xsi:type="dcterms:W3CDTF">2023-08-30T18:09:00Z</dcterms:created>
  <dcterms:modified xsi:type="dcterms:W3CDTF">2023-10-19T04:39:00Z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