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990A" w14:textId="45FCF543" w:rsidR="005D05A6" w:rsidRPr="00656F7F" w:rsidRDefault="00580D1B" w:rsidP="00DF7172">
      <w:pPr>
        <w:pStyle w:val="Indicator"/>
        <w:rPr>
          <w:lang w:val="es-AR"/>
        </w:rPr>
      </w:pPr>
      <w:r w:rsidRPr="00656F7F">
        <w:rPr>
          <w:lang w:val="es-AR"/>
        </w:rPr>
        <w:t>Indicad</w:t>
      </w:r>
      <w:r w:rsidR="005D05A6" w:rsidRPr="00656F7F">
        <w:rPr>
          <w:lang w:val="es-AR"/>
        </w:rPr>
        <w:t xml:space="preserve">or 5.1: </w:t>
      </w:r>
      <w:r w:rsidRPr="00656F7F">
        <w:rPr>
          <w:lang w:val="es-AR"/>
        </w:rPr>
        <w:t>Elaboración de leyes, supervisión y diseño presupuestario inclusivos</w:t>
      </w:r>
    </w:p>
    <w:p w14:paraId="104A75BE" w14:textId="77777777" w:rsidR="00580D1B" w:rsidRPr="00DF7172" w:rsidRDefault="00580D1B" w:rsidP="00DF7172">
      <w:pPr>
        <w:pStyle w:val="section-title"/>
        <w:jc w:val="both"/>
      </w:pPr>
      <w:r w:rsidRPr="00A942A2">
        <w:t>Acerca de este indicador</w:t>
      </w:r>
    </w:p>
    <w:p w14:paraId="3BAFCDCE" w14:textId="3E38A63D" w:rsidR="005D05A6" w:rsidRPr="00656F7F" w:rsidRDefault="00EF7AC5" w:rsidP="00DF7172">
      <w:pPr>
        <w:jc w:val="both"/>
        <w:rPr>
          <w:rFonts w:eastAsia="Arial" w:cs="Arial"/>
          <w:szCs w:val="20"/>
          <w:lang w:val="es-AR"/>
        </w:rPr>
      </w:pPr>
      <w:r w:rsidRPr="00656F7F">
        <w:rPr>
          <w:lang w:val="es-AR"/>
        </w:rPr>
        <w:t xml:space="preserve">En sus funciones legislativas, presupuestarias y de </w:t>
      </w:r>
      <w:r w:rsidR="00B45878" w:rsidRPr="00656F7F">
        <w:rPr>
          <w:lang w:val="es-AR"/>
        </w:rPr>
        <w:t>supervisión</w:t>
      </w:r>
      <w:r w:rsidRPr="00656F7F">
        <w:rPr>
          <w:lang w:val="es-AR"/>
        </w:rPr>
        <w:t xml:space="preserve">, el Parlamento debe reflejar los distintos intereses de las personas a las cuales sirve. Las prácticas parlamentarias inclusivas fortalecen la democracia, promueven la integración y previenen conflictos. </w:t>
      </w:r>
    </w:p>
    <w:p w14:paraId="0F60C68D" w14:textId="57762FAA" w:rsidR="005D05A6" w:rsidRPr="00656F7F" w:rsidRDefault="00EF7AC5" w:rsidP="00DF7172">
      <w:pPr>
        <w:spacing w:before="120" w:after="120"/>
        <w:jc w:val="both"/>
        <w:rPr>
          <w:rFonts w:eastAsia="Arial" w:cs="Arial"/>
          <w:szCs w:val="20"/>
          <w:lang w:val="es-AR"/>
        </w:rPr>
      </w:pPr>
      <w:r w:rsidRPr="00656F7F">
        <w:rPr>
          <w:lang w:val="es-AR"/>
        </w:rPr>
        <w:t>El Parl</w:t>
      </w:r>
      <w:r w:rsidR="005D05A6" w:rsidRPr="00656F7F">
        <w:rPr>
          <w:lang w:val="es-AR"/>
        </w:rPr>
        <w:t>ament</w:t>
      </w:r>
      <w:r w:rsidRPr="00656F7F">
        <w:rPr>
          <w:lang w:val="es-AR"/>
        </w:rPr>
        <w:t xml:space="preserve">o puede garantizar que sus prácticas de trabajo sean inclusive a través de un agama de mecanismos, incluyendo la promoción y protección de los derechos humanos en el proceso legislativo, teniendo en Cuenta los efectos del trabajo parlamentario en hombres y mujeres, e incorporando las perspectivas de los jóvenes al Parlamento. </w:t>
      </w:r>
      <w:r w:rsidR="005F5FFF" w:rsidRPr="00656F7F">
        <w:rPr>
          <w:lang w:val="es-AR"/>
        </w:rPr>
        <w:t xml:space="preserve"> </w:t>
      </w:r>
    </w:p>
    <w:p w14:paraId="23AA76B7" w14:textId="77777777" w:rsidR="00580D1B" w:rsidRDefault="00580D1B" w:rsidP="00DF7172">
      <w:pPr>
        <w:jc w:val="both"/>
        <w:rPr>
          <w:szCs w:val="20"/>
          <w:lang w:val="es-AR"/>
        </w:rPr>
      </w:pPr>
      <w:r>
        <w:rPr>
          <w:lang w:val="es-AR"/>
        </w:rPr>
        <w:t xml:space="preserve">Este indicador se compone de las siguientes dimensiones: </w:t>
      </w:r>
    </w:p>
    <w:p w14:paraId="0FCE30F3" w14:textId="77777777" w:rsidR="00A1060F" w:rsidRPr="00656F7F" w:rsidRDefault="00A1060F" w:rsidP="00DF7172">
      <w:pPr>
        <w:jc w:val="both"/>
        <w:rPr>
          <w:rFonts w:eastAsia="Arial" w:cs="Arial"/>
          <w:szCs w:val="20"/>
          <w:lang w:val="es-AR"/>
        </w:rPr>
      </w:pPr>
    </w:p>
    <w:p w14:paraId="5977D185" w14:textId="10729C5A" w:rsidR="008B5588" w:rsidRPr="004D0354" w:rsidRDefault="00580D1B" w:rsidP="00DF7172">
      <w:pPr>
        <w:numPr>
          <w:ilvl w:val="0"/>
          <w:numId w:val="3"/>
        </w:numPr>
        <w:pBdr>
          <w:top w:val="nil"/>
          <w:left w:val="nil"/>
          <w:bottom w:val="nil"/>
          <w:right w:val="nil"/>
          <w:between w:val="nil"/>
        </w:pBdr>
        <w:ind w:left="562" w:hanging="562"/>
        <w:contextualSpacing/>
        <w:jc w:val="both"/>
        <w:rPr>
          <w:rFonts w:eastAsia="Arial" w:cs="Arial"/>
          <w:color w:val="000000"/>
          <w:szCs w:val="20"/>
        </w:rPr>
      </w:pPr>
      <w:r>
        <w:rPr>
          <w:color w:val="000000"/>
        </w:rPr>
        <w:t>Dimensión</w:t>
      </w:r>
      <w:r w:rsidR="009F2D1F" w:rsidRPr="004D0354">
        <w:rPr>
          <w:color w:val="000000"/>
        </w:rPr>
        <w:t xml:space="preserve"> </w:t>
      </w:r>
      <w:r w:rsidR="00A1060F" w:rsidRPr="004D0354">
        <w:rPr>
          <w:color w:val="000000"/>
        </w:rPr>
        <w:t>5.1.</w:t>
      </w:r>
      <w:r w:rsidR="00A1060F" w:rsidRPr="004D0354">
        <w:t>1</w:t>
      </w:r>
      <w:r w:rsidR="009F2D1F" w:rsidRPr="004D0354">
        <w:t>:</w:t>
      </w:r>
      <w:r w:rsidR="00A1060F" w:rsidRPr="004D0354">
        <w:rPr>
          <w:color w:val="000000"/>
        </w:rPr>
        <w:t xml:space="preserve"> </w:t>
      </w:r>
      <w:r w:rsidR="00CE4737">
        <w:rPr>
          <w:color w:val="000000"/>
        </w:rPr>
        <w:t>Derechos humanos</w:t>
      </w:r>
    </w:p>
    <w:p w14:paraId="279533A2" w14:textId="77777777" w:rsidR="008B5588" w:rsidRPr="004D0354" w:rsidRDefault="008B5588" w:rsidP="00DF7172">
      <w:pPr>
        <w:pBdr>
          <w:top w:val="nil"/>
          <w:left w:val="nil"/>
          <w:bottom w:val="nil"/>
          <w:right w:val="nil"/>
          <w:between w:val="nil"/>
        </w:pBdr>
        <w:ind w:left="562"/>
        <w:contextualSpacing/>
        <w:jc w:val="both"/>
        <w:rPr>
          <w:rFonts w:eastAsia="Arial" w:cs="Arial"/>
          <w:color w:val="000000"/>
          <w:szCs w:val="20"/>
        </w:rPr>
      </w:pPr>
    </w:p>
    <w:p w14:paraId="3747266F" w14:textId="27AEC5A2" w:rsidR="00A1060F" w:rsidRPr="004D0354" w:rsidRDefault="00580D1B" w:rsidP="00DF7172">
      <w:pPr>
        <w:numPr>
          <w:ilvl w:val="0"/>
          <w:numId w:val="3"/>
        </w:numPr>
        <w:pBdr>
          <w:top w:val="nil"/>
          <w:left w:val="nil"/>
          <w:bottom w:val="nil"/>
          <w:right w:val="nil"/>
          <w:between w:val="nil"/>
        </w:pBdr>
        <w:ind w:left="562" w:hanging="562"/>
        <w:contextualSpacing/>
        <w:jc w:val="both"/>
        <w:rPr>
          <w:rFonts w:eastAsia="Arial" w:cs="Arial"/>
          <w:color w:val="000000"/>
          <w:szCs w:val="20"/>
        </w:rPr>
      </w:pPr>
      <w:r>
        <w:rPr>
          <w:color w:val="000000"/>
        </w:rPr>
        <w:t>Dimensión</w:t>
      </w:r>
      <w:r w:rsidRPr="004D0354">
        <w:rPr>
          <w:color w:val="000000"/>
        </w:rPr>
        <w:t xml:space="preserve"> </w:t>
      </w:r>
      <w:r w:rsidR="008B5588" w:rsidRPr="004D0354">
        <w:rPr>
          <w:color w:val="000000"/>
        </w:rPr>
        <w:t>5.1.2</w:t>
      </w:r>
      <w:r w:rsidR="009F2D1F" w:rsidRPr="004D0354">
        <w:rPr>
          <w:color w:val="000000"/>
        </w:rPr>
        <w:t>:</w:t>
      </w:r>
      <w:r w:rsidR="008B5588" w:rsidRPr="004D0354">
        <w:rPr>
          <w:color w:val="000000"/>
        </w:rPr>
        <w:t xml:space="preserve"> </w:t>
      </w:r>
      <w:r w:rsidR="00CE4737">
        <w:rPr>
          <w:color w:val="000000"/>
        </w:rPr>
        <w:t>Evaluaciones de impacto</w:t>
      </w:r>
    </w:p>
    <w:p w14:paraId="439CB4C6" w14:textId="77777777" w:rsidR="00A1060F" w:rsidRPr="004D0354" w:rsidRDefault="00A1060F" w:rsidP="00DF7172">
      <w:pPr>
        <w:pBdr>
          <w:top w:val="nil"/>
          <w:left w:val="nil"/>
          <w:bottom w:val="nil"/>
          <w:right w:val="nil"/>
          <w:between w:val="nil"/>
        </w:pBdr>
        <w:ind w:left="562"/>
        <w:contextualSpacing/>
        <w:jc w:val="both"/>
        <w:rPr>
          <w:rFonts w:eastAsia="Arial" w:cs="Arial"/>
          <w:color w:val="000000"/>
          <w:szCs w:val="20"/>
        </w:rPr>
      </w:pPr>
    </w:p>
    <w:p w14:paraId="3F9A49B7" w14:textId="23BD1419" w:rsidR="00A1060F" w:rsidRPr="00656F7F" w:rsidRDefault="00580D1B" w:rsidP="00DF7172">
      <w:pPr>
        <w:numPr>
          <w:ilvl w:val="0"/>
          <w:numId w:val="3"/>
        </w:numPr>
        <w:pBdr>
          <w:top w:val="nil"/>
          <w:left w:val="nil"/>
          <w:bottom w:val="nil"/>
          <w:right w:val="nil"/>
          <w:between w:val="nil"/>
        </w:pBdr>
        <w:ind w:left="562" w:hanging="562"/>
        <w:contextualSpacing/>
        <w:jc w:val="both"/>
        <w:rPr>
          <w:rFonts w:eastAsia="Arial" w:cs="Arial"/>
          <w:color w:val="000000"/>
          <w:szCs w:val="20"/>
          <w:lang w:val="es-AR"/>
        </w:rPr>
      </w:pPr>
      <w:r w:rsidRPr="00656F7F">
        <w:rPr>
          <w:color w:val="000000"/>
          <w:lang w:val="es-AR"/>
        </w:rPr>
        <w:t xml:space="preserve">Dimensión </w:t>
      </w:r>
      <w:r w:rsidR="00A1060F" w:rsidRPr="00656F7F">
        <w:rPr>
          <w:color w:val="000000"/>
          <w:lang w:val="es-AR"/>
        </w:rPr>
        <w:t>5.1.</w:t>
      </w:r>
      <w:r w:rsidR="00A1060F" w:rsidRPr="00656F7F">
        <w:rPr>
          <w:lang w:val="es-AR"/>
        </w:rPr>
        <w:t>3</w:t>
      </w:r>
      <w:r w:rsidR="009F2D1F" w:rsidRPr="00656F7F">
        <w:rPr>
          <w:lang w:val="es-AR"/>
        </w:rPr>
        <w:t>:</w:t>
      </w:r>
      <w:r w:rsidR="00A1060F" w:rsidRPr="00656F7F">
        <w:rPr>
          <w:color w:val="000000"/>
          <w:lang w:val="es-AR"/>
        </w:rPr>
        <w:t xml:space="preserve"> </w:t>
      </w:r>
      <w:r w:rsidR="00CE4737" w:rsidRPr="00656F7F">
        <w:rPr>
          <w:color w:val="000000"/>
          <w:lang w:val="es-AR"/>
        </w:rPr>
        <w:t>Integración de la perspectiva de género</w:t>
      </w:r>
    </w:p>
    <w:p w14:paraId="6DCFE472" w14:textId="77777777" w:rsidR="00A1060F" w:rsidRPr="00656F7F" w:rsidRDefault="00A1060F" w:rsidP="00DF7172">
      <w:pPr>
        <w:pBdr>
          <w:top w:val="nil"/>
          <w:left w:val="nil"/>
          <w:bottom w:val="nil"/>
          <w:right w:val="nil"/>
          <w:between w:val="nil"/>
        </w:pBdr>
        <w:ind w:left="562"/>
        <w:contextualSpacing/>
        <w:jc w:val="both"/>
        <w:rPr>
          <w:rFonts w:eastAsia="Arial" w:cs="Arial"/>
          <w:color w:val="000000"/>
          <w:szCs w:val="20"/>
          <w:lang w:val="es-AR"/>
        </w:rPr>
      </w:pPr>
    </w:p>
    <w:p w14:paraId="1D0ABFB5" w14:textId="2BB237DC" w:rsidR="00A1060F" w:rsidRPr="00656F7F" w:rsidRDefault="00580D1B" w:rsidP="00DF7172">
      <w:pPr>
        <w:numPr>
          <w:ilvl w:val="0"/>
          <w:numId w:val="3"/>
        </w:numPr>
        <w:pBdr>
          <w:top w:val="nil"/>
          <w:left w:val="nil"/>
          <w:bottom w:val="nil"/>
          <w:right w:val="nil"/>
          <w:between w:val="nil"/>
        </w:pBdr>
        <w:ind w:left="562" w:hanging="562"/>
        <w:contextualSpacing/>
        <w:jc w:val="both"/>
        <w:rPr>
          <w:rFonts w:eastAsia="Arial" w:cs="Arial"/>
          <w:color w:val="000000"/>
          <w:szCs w:val="20"/>
          <w:lang w:val="es-AR"/>
        </w:rPr>
      </w:pPr>
      <w:r w:rsidRPr="00656F7F">
        <w:rPr>
          <w:color w:val="000000"/>
          <w:lang w:val="es-AR"/>
        </w:rPr>
        <w:t xml:space="preserve">Dimensión </w:t>
      </w:r>
      <w:r w:rsidR="00A1060F" w:rsidRPr="00656F7F">
        <w:rPr>
          <w:color w:val="000000"/>
          <w:lang w:val="es-AR"/>
        </w:rPr>
        <w:t>5.1.</w:t>
      </w:r>
      <w:r w:rsidR="00A1060F" w:rsidRPr="00656F7F">
        <w:rPr>
          <w:lang w:val="es-AR"/>
        </w:rPr>
        <w:t>4</w:t>
      </w:r>
      <w:r w:rsidR="009F2D1F" w:rsidRPr="00656F7F">
        <w:rPr>
          <w:lang w:val="es-AR"/>
        </w:rPr>
        <w:t>:</w:t>
      </w:r>
      <w:r w:rsidR="00A1060F" w:rsidRPr="00656F7F">
        <w:rPr>
          <w:color w:val="000000"/>
          <w:lang w:val="es-AR"/>
        </w:rPr>
        <w:t xml:space="preserve"> </w:t>
      </w:r>
      <w:r w:rsidR="00CE4737" w:rsidRPr="00656F7F">
        <w:rPr>
          <w:color w:val="000000"/>
          <w:lang w:val="es-AR"/>
        </w:rPr>
        <w:t>Presupuesto con perspectiva de género</w:t>
      </w:r>
    </w:p>
    <w:p w14:paraId="5B7BE56B" w14:textId="77777777" w:rsidR="00A1060F" w:rsidRPr="00656F7F" w:rsidRDefault="00A1060F" w:rsidP="00DF7172">
      <w:pPr>
        <w:pBdr>
          <w:top w:val="nil"/>
          <w:left w:val="nil"/>
          <w:bottom w:val="nil"/>
          <w:right w:val="nil"/>
          <w:between w:val="nil"/>
        </w:pBdr>
        <w:ind w:left="562"/>
        <w:contextualSpacing/>
        <w:jc w:val="both"/>
        <w:rPr>
          <w:rFonts w:eastAsia="Arial" w:cs="Arial"/>
          <w:color w:val="000000"/>
          <w:szCs w:val="20"/>
          <w:lang w:val="es-AR"/>
        </w:rPr>
      </w:pPr>
    </w:p>
    <w:p w14:paraId="40694E82" w14:textId="78836EFD" w:rsidR="00A1060F" w:rsidRPr="004D0354" w:rsidRDefault="00580D1B" w:rsidP="00DF7172">
      <w:pPr>
        <w:numPr>
          <w:ilvl w:val="0"/>
          <w:numId w:val="3"/>
        </w:numPr>
        <w:pBdr>
          <w:top w:val="nil"/>
          <w:left w:val="nil"/>
          <w:bottom w:val="nil"/>
          <w:right w:val="nil"/>
          <w:between w:val="nil"/>
        </w:pBdr>
        <w:ind w:left="562" w:hanging="562"/>
        <w:contextualSpacing/>
        <w:jc w:val="both"/>
        <w:rPr>
          <w:rFonts w:eastAsia="Arial" w:cs="Arial"/>
          <w:color w:val="000000"/>
          <w:szCs w:val="20"/>
        </w:rPr>
      </w:pPr>
      <w:r>
        <w:rPr>
          <w:color w:val="000000"/>
        </w:rPr>
        <w:t>Dimensión</w:t>
      </w:r>
      <w:r w:rsidRPr="004D0354">
        <w:rPr>
          <w:color w:val="000000"/>
        </w:rPr>
        <w:t xml:space="preserve"> </w:t>
      </w:r>
      <w:r w:rsidR="00A1060F" w:rsidRPr="004D0354">
        <w:rPr>
          <w:color w:val="000000"/>
        </w:rPr>
        <w:t>5.1.</w:t>
      </w:r>
      <w:r w:rsidR="00A1060F" w:rsidRPr="004D0354">
        <w:t>5</w:t>
      </w:r>
      <w:r w:rsidR="009F2D1F" w:rsidRPr="004D0354">
        <w:t>:</w:t>
      </w:r>
      <w:r w:rsidR="00CE4737">
        <w:rPr>
          <w:color w:val="000000"/>
        </w:rPr>
        <w:t xml:space="preserve"> </w:t>
      </w:r>
      <w:r w:rsidR="00CE4737">
        <w:t>I</w:t>
      </w:r>
      <w:r w:rsidR="00A1060F" w:rsidRPr="004D0354">
        <w:t>nclusi</w:t>
      </w:r>
      <w:r w:rsidR="00CE4737">
        <w:t>ó</w:t>
      </w:r>
      <w:r w:rsidR="00A1060F" w:rsidRPr="004D0354">
        <w:t>n</w:t>
      </w:r>
      <w:r w:rsidR="00CE4737">
        <w:t xml:space="preserve"> de la juventud</w:t>
      </w:r>
    </w:p>
    <w:p w14:paraId="743884AF" w14:textId="77777777" w:rsidR="00A1060F" w:rsidRPr="004D0354" w:rsidRDefault="00A1060F" w:rsidP="00DF7172">
      <w:pPr>
        <w:spacing w:line="276" w:lineRule="auto"/>
        <w:jc w:val="both"/>
        <w:rPr>
          <w:rFonts w:eastAsia="Arial" w:cs="Arial"/>
          <w:szCs w:val="20"/>
        </w:rPr>
      </w:pPr>
    </w:p>
    <w:p w14:paraId="50C391DC" w14:textId="77777777" w:rsidR="005D05A6" w:rsidRPr="004D0354" w:rsidRDefault="005D05A6" w:rsidP="00DF7172">
      <w:pPr>
        <w:pBdr>
          <w:top w:val="nil"/>
          <w:left w:val="nil"/>
          <w:bottom w:val="nil"/>
          <w:right w:val="nil"/>
          <w:between w:val="nil"/>
        </w:pBdr>
        <w:spacing w:line="276" w:lineRule="auto"/>
        <w:jc w:val="both"/>
        <w:rPr>
          <w:rFonts w:eastAsia="Arial" w:cs="Arial"/>
          <w:color w:val="000000"/>
          <w:szCs w:val="20"/>
        </w:rPr>
      </w:pPr>
    </w:p>
    <w:p w14:paraId="5BB9EA0A" w14:textId="77777777" w:rsidR="005D05A6" w:rsidRPr="004D0354" w:rsidRDefault="005D05A6" w:rsidP="00DF7172">
      <w:pPr>
        <w:spacing w:line="276" w:lineRule="auto"/>
        <w:jc w:val="both"/>
        <w:rPr>
          <w:rFonts w:eastAsia="Arial" w:cs="Arial"/>
          <w:color w:val="000000"/>
          <w:szCs w:val="20"/>
        </w:rPr>
      </w:pPr>
    </w:p>
    <w:p w14:paraId="06547759" w14:textId="77777777" w:rsidR="005D05A6" w:rsidRPr="004D0354" w:rsidRDefault="005D05A6" w:rsidP="00DF7172">
      <w:pPr>
        <w:spacing w:line="276" w:lineRule="auto"/>
        <w:jc w:val="both"/>
        <w:rPr>
          <w:rFonts w:eastAsia="Arial" w:cs="Arial"/>
          <w:color w:val="000000"/>
          <w:szCs w:val="20"/>
        </w:rPr>
      </w:pPr>
    </w:p>
    <w:p w14:paraId="71735284" w14:textId="77777777" w:rsidR="005D05A6" w:rsidRPr="004D0354" w:rsidRDefault="005D05A6" w:rsidP="00DF7172">
      <w:pPr>
        <w:spacing w:line="276" w:lineRule="auto"/>
        <w:jc w:val="both"/>
        <w:rPr>
          <w:rFonts w:eastAsia="Arial" w:cs="Arial"/>
          <w:color w:val="000000"/>
          <w:szCs w:val="20"/>
        </w:rPr>
      </w:pPr>
    </w:p>
    <w:p w14:paraId="175ADC84" w14:textId="7669EFC1" w:rsidR="00575CC0" w:rsidRDefault="00575CC0" w:rsidP="00DF7172">
      <w:pPr>
        <w:jc w:val="both"/>
        <w:rPr>
          <w:rFonts w:eastAsia="Arial" w:cs="Arial"/>
          <w:color w:val="000000"/>
          <w:szCs w:val="20"/>
        </w:rPr>
      </w:pPr>
      <w:r>
        <w:rPr>
          <w:rFonts w:eastAsia="Arial" w:cs="Arial"/>
          <w:color w:val="000000"/>
          <w:szCs w:val="20"/>
        </w:rPr>
        <w:br w:type="page"/>
      </w:r>
    </w:p>
    <w:p w14:paraId="43FD3CB4" w14:textId="5F50BAD2" w:rsidR="008B5588" w:rsidRPr="004D0354" w:rsidRDefault="00CE4737" w:rsidP="00DF7172">
      <w:pPr>
        <w:pStyle w:val="Dimension"/>
      </w:pPr>
      <w:r>
        <w:lastRenderedPageBreak/>
        <w:t>Dimensió</w:t>
      </w:r>
      <w:r w:rsidR="008B5588" w:rsidRPr="004D0354">
        <w:t xml:space="preserve">n 5.1.1: </w:t>
      </w:r>
      <w:r>
        <w:t>Derechos h</w:t>
      </w:r>
      <w:r w:rsidR="008B5588" w:rsidRPr="004D0354">
        <w:t>uman</w:t>
      </w:r>
      <w:r>
        <w:t>os</w:t>
      </w:r>
      <w:r w:rsidR="008B5588" w:rsidRPr="004D0354">
        <w:t xml:space="preserve"> </w:t>
      </w:r>
    </w:p>
    <w:tbl>
      <w:tblPr>
        <w:tblStyle w:val="TableGrid"/>
        <w:tblW w:w="0" w:type="auto"/>
        <w:shd w:val="clear" w:color="auto" w:fill="EEEEEE"/>
        <w:tblLook w:val="04A0" w:firstRow="1" w:lastRow="0" w:firstColumn="1" w:lastColumn="0" w:noHBand="0" w:noVBand="1"/>
      </w:tblPr>
      <w:tblGrid>
        <w:gridCol w:w="8780"/>
      </w:tblGrid>
      <w:tr w:rsidR="008B5588" w:rsidRPr="004D0354" w14:paraId="6E9D0E12" w14:textId="77777777" w:rsidTr="00580D1B">
        <w:tc>
          <w:tcPr>
            <w:tcW w:w="8780" w:type="dxa"/>
            <w:shd w:val="clear" w:color="auto" w:fill="EEEEEE"/>
          </w:tcPr>
          <w:p w14:paraId="2B4B4066" w14:textId="77F68828" w:rsidR="008B5588" w:rsidRPr="00656F7F" w:rsidRDefault="00580D1B" w:rsidP="00DF7172">
            <w:pPr>
              <w:jc w:val="both"/>
              <w:rPr>
                <w:rFonts w:eastAsia="Arial" w:cs="Arial"/>
                <w:szCs w:val="20"/>
                <w:lang w:val="es-AR"/>
              </w:rPr>
            </w:pPr>
            <w:r w:rsidRPr="00656F7F">
              <w:rPr>
                <w:lang w:val="es-AR"/>
              </w:rPr>
              <w:t>Esta dimensión es parte de:</w:t>
            </w:r>
          </w:p>
          <w:p w14:paraId="00F24B72" w14:textId="3AE66345" w:rsidR="008B5588" w:rsidRPr="00656F7F" w:rsidRDefault="00580D1B" w:rsidP="00DF7172">
            <w:pPr>
              <w:pStyle w:val="ListParagraph"/>
              <w:jc w:val="both"/>
              <w:rPr>
                <w:lang w:val="es-AR"/>
              </w:rPr>
            </w:pPr>
            <w:r w:rsidRPr="00656F7F">
              <w:rPr>
                <w:lang w:val="es-AR"/>
              </w:rPr>
              <w:t>Indicad</w:t>
            </w:r>
            <w:r w:rsidR="008B5588" w:rsidRPr="00656F7F">
              <w:rPr>
                <w:lang w:val="es-AR"/>
              </w:rPr>
              <w:t xml:space="preserve">or 5.1: </w:t>
            </w:r>
            <w:r w:rsidR="00CE4737" w:rsidRPr="00656F7F">
              <w:rPr>
                <w:lang w:val="es-AR"/>
              </w:rPr>
              <w:t xml:space="preserve">Elaboración de leyes, </w:t>
            </w:r>
            <w:r w:rsidR="00B45878" w:rsidRPr="00656F7F">
              <w:rPr>
                <w:lang w:val="es-AR"/>
              </w:rPr>
              <w:t>supervisión</w:t>
            </w:r>
            <w:r w:rsidR="00CE4737" w:rsidRPr="00656F7F">
              <w:rPr>
                <w:lang w:val="es-AR"/>
              </w:rPr>
              <w:t xml:space="preserve"> y diseño presupuestario inclusivos</w:t>
            </w:r>
          </w:p>
          <w:p w14:paraId="74EACBE5" w14:textId="4B362AC3" w:rsidR="008B5588" w:rsidRPr="004D0354" w:rsidRDefault="00580D1B" w:rsidP="00DF7172">
            <w:pPr>
              <w:pStyle w:val="ListParagraph"/>
              <w:jc w:val="both"/>
              <w:rPr>
                <w:sz w:val="24"/>
              </w:rPr>
            </w:pPr>
            <w:r>
              <w:t>Meta 5: Parlamento</w:t>
            </w:r>
            <w:r w:rsidR="00DF7172">
              <w:t>s</w:t>
            </w:r>
            <w:r>
              <w:t xml:space="preserve"> i</w:t>
            </w:r>
            <w:r w:rsidR="00FF025F" w:rsidRPr="004D0354">
              <w:t>nclusiv</w:t>
            </w:r>
            <w:r>
              <w:t>o</w:t>
            </w:r>
            <w:r w:rsidR="00DF7172">
              <w:t>s</w:t>
            </w:r>
          </w:p>
        </w:tc>
      </w:tr>
    </w:tbl>
    <w:p w14:paraId="7130E4FE" w14:textId="77777777" w:rsidR="00580D1B" w:rsidRPr="001335DD" w:rsidRDefault="00580D1B" w:rsidP="00DF7172">
      <w:pPr>
        <w:pStyle w:val="section-title"/>
        <w:jc w:val="both"/>
      </w:pPr>
      <w:r>
        <w:t>Acerca de esta dimensión</w:t>
      </w:r>
    </w:p>
    <w:p w14:paraId="6C82C42E" w14:textId="344778F5" w:rsidR="00FF025F" w:rsidRPr="00053024" w:rsidRDefault="00053024" w:rsidP="00DF7172">
      <w:pPr>
        <w:spacing w:after="120"/>
        <w:jc w:val="both"/>
      </w:pPr>
      <w:r w:rsidRPr="00656F7F">
        <w:rPr>
          <w:lang w:val="es-AR"/>
        </w:rPr>
        <w:t xml:space="preserve">Esta dimensión refiere al rol del Parlamento en lo que hace a la protección y promoción de los derechos humanos, y en contribuir a la realización de todo el espectro de derechos políticos, civiles, económicos, sociales y culturales. </w:t>
      </w:r>
      <w:r w:rsidRPr="00053024">
        <w:t>El Parlamento cumple con este rol mediante:</w:t>
      </w:r>
    </w:p>
    <w:p w14:paraId="5821D2E0" w14:textId="3A720D02" w:rsidR="00FF025F" w:rsidRPr="00656F7F" w:rsidRDefault="00053024" w:rsidP="00DF7172">
      <w:pPr>
        <w:pStyle w:val="ListParagraph"/>
        <w:jc w:val="both"/>
        <w:rPr>
          <w:lang w:val="es-AR"/>
        </w:rPr>
      </w:pPr>
      <w:r w:rsidRPr="00656F7F">
        <w:rPr>
          <w:lang w:val="es-AR"/>
        </w:rPr>
        <w:t>Garantizar el derecho de todos a participar en el rumbo de los asuntos públicos</w:t>
      </w:r>
    </w:p>
    <w:p w14:paraId="18236DD0" w14:textId="65D40CC5" w:rsidR="008E0B91" w:rsidRPr="004D0354" w:rsidRDefault="00053024" w:rsidP="00DF7172">
      <w:pPr>
        <w:pStyle w:val="ListParagraph"/>
        <w:jc w:val="both"/>
      </w:pPr>
      <w:r>
        <w:t>Defender el Estado de Derecho</w:t>
      </w:r>
    </w:p>
    <w:p w14:paraId="5673BE70" w14:textId="1D000F7A" w:rsidR="00FF025F" w:rsidRPr="004D0354" w:rsidRDefault="00053024" w:rsidP="00DF7172">
      <w:pPr>
        <w:pStyle w:val="ListParagraph"/>
        <w:jc w:val="both"/>
      </w:pPr>
      <w:r>
        <w:t>Examinar legislación y presupuestos</w:t>
      </w:r>
    </w:p>
    <w:p w14:paraId="6D3A49C5" w14:textId="548F378A" w:rsidR="00FF025F" w:rsidRPr="00656F7F" w:rsidRDefault="00053024" w:rsidP="00DF7172">
      <w:pPr>
        <w:pStyle w:val="ListParagraph"/>
        <w:jc w:val="both"/>
        <w:rPr>
          <w:lang w:val="es-AR"/>
        </w:rPr>
      </w:pPr>
      <w:r w:rsidRPr="00656F7F">
        <w:rPr>
          <w:lang w:val="es-AR"/>
        </w:rPr>
        <w:t>Supervisar el accionar del Ejecutivo en todos los sectores</w:t>
      </w:r>
    </w:p>
    <w:p w14:paraId="4C5EDA98" w14:textId="77777777" w:rsidR="004704AD" w:rsidRPr="00656F7F" w:rsidRDefault="00053024" w:rsidP="00DF7172">
      <w:pPr>
        <w:pStyle w:val="ListParagraph"/>
        <w:jc w:val="both"/>
        <w:rPr>
          <w:lang w:val="es-AR"/>
        </w:rPr>
      </w:pPr>
      <w:r w:rsidRPr="00656F7F">
        <w:rPr>
          <w:lang w:val="es-AR"/>
        </w:rPr>
        <w:t>Garantizar que el Poder Judicial sea independiente, efectivo y accessible.</w:t>
      </w:r>
    </w:p>
    <w:p w14:paraId="4B84E776" w14:textId="6DF4DC6C" w:rsidR="008E0B91" w:rsidRPr="00656F7F" w:rsidRDefault="004704AD" w:rsidP="00DF7172">
      <w:pPr>
        <w:pStyle w:val="ListParagraph"/>
        <w:jc w:val="both"/>
        <w:rPr>
          <w:lang w:val="es-AR"/>
        </w:rPr>
      </w:pPr>
      <w:r w:rsidRPr="00656F7F">
        <w:rPr>
          <w:lang w:val="es-AR"/>
        </w:rPr>
        <w:t>Asegurar que las instituciones nacionales de derechos humanos (las INDHs) puedan cumplir su mandato eficazmente; en muchos países, la composición de las INDH es aprobada por el parlamento y tienen la obligación de reportar al mismo.</w:t>
      </w:r>
    </w:p>
    <w:p w14:paraId="757AFB83" w14:textId="77777777" w:rsidR="004704AD" w:rsidRPr="00656F7F" w:rsidRDefault="004704AD" w:rsidP="00DF7172">
      <w:pPr>
        <w:pStyle w:val="ListParagraph"/>
        <w:jc w:val="both"/>
        <w:rPr>
          <w:lang w:val="es-AR"/>
        </w:rPr>
      </w:pPr>
      <w:r w:rsidRPr="00656F7F">
        <w:rPr>
          <w:lang w:val="es-AR"/>
        </w:rPr>
        <w:t>Garantizar que exista un medio de comunicación libre, independiente y pluralista</w:t>
      </w:r>
      <w:r w:rsidR="00FF025F" w:rsidRPr="00656F7F">
        <w:rPr>
          <w:lang w:val="es-AR"/>
        </w:rPr>
        <w:t xml:space="preserve"> </w:t>
      </w:r>
    </w:p>
    <w:p w14:paraId="3D0DFAF6" w14:textId="0A0FC99A" w:rsidR="008B5588" w:rsidRPr="00656F7F" w:rsidRDefault="004704AD" w:rsidP="00DF7172">
      <w:pPr>
        <w:pStyle w:val="ListParagraph"/>
        <w:jc w:val="both"/>
        <w:rPr>
          <w:lang w:val="es-AR"/>
        </w:rPr>
      </w:pPr>
      <w:r w:rsidRPr="00656F7F">
        <w:rPr>
          <w:lang w:val="es-AR"/>
        </w:rPr>
        <w:t>Asegurar que las organizaciones de la sociedad civil (las OSC) puedan trabajar de forma efectiva y sin temor a represalias.</w:t>
      </w:r>
    </w:p>
    <w:p w14:paraId="49A7D6D2" w14:textId="0C90F7BB" w:rsidR="008E0B91" w:rsidRPr="00656F7F" w:rsidRDefault="009E520A" w:rsidP="00DF7172">
      <w:pPr>
        <w:spacing w:before="120" w:after="120"/>
        <w:jc w:val="both"/>
        <w:rPr>
          <w:lang w:val="es-AR"/>
        </w:rPr>
      </w:pPr>
      <w:r w:rsidRPr="00656F7F">
        <w:rPr>
          <w:lang w:val="es-AR"/>
        </w:rPr>
        <w:t xml:space="preserve">La existencia de una comisión parlamentaria especializada y con un sólido mandato en materia de derechos humanos puede enviar un mensaje político contundente, ayudar a integrar los derechos humanos en el trabajo parlamentario y facilitar la interacción entre el Parlamento y otros actores involucrados. Las asociaciones (caucus) y/o grupos informales de legisladores activos en el campo de los derechos humanos son otros mecanismos parlamentarios habituales. </w:t>
      </w:r>
    </w:p>
    <w:p w14:paraId="11259A4C" w14:textId="5D93A130" w:rsidR="008B5588" w:rsidRPr="00656F7F" w:rsidRDefault="009E520A" w:rsidP="00DF7172">
      <w:pPr>
        <w:jc w:val="both"/>
        <w:rPr>
          <w:color w:val="000000"/>
          <w:lang w:val="es-AR"/>
        </w:rPr>
      </w:pPr>
      <w:r w:rsidRPr="00656F7F">
        <w:rPr>
          <w:color w:val="000000"/>
          <w:lang w:val="es-AR"/>
        </w:rPr>
        <w:t>El Parl</w:t>
      </w:r>
      <w:r w:rsidR="008B5588" w:rsidRPr="00656F7F">
        <w:rPr>
          <w:color w:val="000000"/>
          <w:lang w:val="es-AR"/>
        </w:rPr>
        <w:t>ament</w:t>
      </w:r>
      <w:r w:rsidRPr="00656F7F">
        <w:rPr>
          <w:color w:val="000000"/>
          <w:lang w:val="es-AR"/>
        </w:rPr>
        <w:t>o contribuye</w:t>
      </w:r>
      <w:r w:rsidR="008B5588" w:rsidRPr="00656F7F">
        <w:rPr>
          <w:color w:val="000000"/>
          <w:lang w:val="es-AR"/>
        </w:rPr>
        <w:t xml:space="preserve"> </w:t>
      </w:r>
      <w:r w:rsidRPr="00656F7F">
        <w:rPr>
          <w:color w:val="000000"/>
          <w:lang w:val="es-AR"/>
        </w:rPr>
        <w:t>al seguimiento de la implementación de los compromisos internacionales en materia de derechos humanos.</w:t>
      </w:r>
      <w:r w:rsidR="008B5588" w:rsidRPr="00656F7F">
        <w:rPr>
          <w:color w:val="000000"/>
          <w:lang w:val="es-AR"/>
        </w:rPr>
        <w:t xml:space="preserve"> </w:t>
      </w:r>
      <w:r w:rsidRPr="00656F7F">
        <w:rPr>
          <w:color w:val="000000"/>
          <w:lang w:val="es-AR"/>
        </w:rPr>
        <w:t xml:space="preserve">El </w:t>
      </w:r>
      <w:r w:rsidR="008B5588" w:rsidRPr="00656F7F">
        <w:rPr>
          <w:color w:val="000000"/>
          <w:lang w:val="es-AR"/>
        </w:rPr>
        <w:t>Parl</w:t>
      </w:r>
      <w:r w:rsidRPr="00656F7F">
        <w:rPr>
          <w:color w:val="000000"/>
          <w:lang w:val="es-AR"/>
        </w:rPr>
        <w:t xml:space="preserve">amento debe participar activamente en los mecanismos de derechos humanos de Naciones Unidas (ONU), como su Consejo de Derechos Humanos y su revisión periódica universal (RPU), y los distintos órganos </w:t>
      </w:r>
      <w:r w:rsidR="00CD6683" w:rsidRPr="00656F7F">
        <w:rPr>
          <w:color w:val="000000"/>
          <w:lang w:val="es-AR"/>
        </w:rPr>
        <w:t xml:space="preserve">emanados de tratados </w:t>
      </w:r>
      <w:r w:rsidRPr="00656F7F">
        <w:rPr>
          <w:color w:val="000000"/>
          <w:lang w:val="es-AR"/>
        </w:rPr>
        <w:t xml:space="preserve">de derechos humanos </w:t>
      </w:r>
      <w:r w:rsidR="00CD6683" w:rsidRPr="00656F7F">
        <w:rPr>
          <w:color w:val="000000"/>
          <w:lang w:val="es-AR"/>
        </w:rPr>
        <w:t xml:space="preserve">en el marco de la ONU. Esto incluye la contribución en la </w:t>
      </w:r>
      <w:r w:rsidR="00CC1CDF" w:rsidRPr="00656F7F">
        <w:rPr>
          <w:color w:val="000000"/>
          <w:lang w:val="es-AR"/>
        </w:rPr>
        <w:t>e</w:t>
      </w:r>
      <w:r w:rsidR="00CD6683" w:rsidRPr="00656F7F">
        <w:rPr>
          <w:color w:val="000000"/>
          <w:lang w:val="es-AR"/>
        </w:rPr>
        <w:t>laboración de los borradores o en las discusiones de los report</w:t>
      </w:r>
      <w:r w:rsidR="00CC1CDF" w:rsidRPr="00656F7F">
        <w:rPr>
          <w:color w:val="000000"/>
          <w:lang w:val="es-AR"/>
        </w:rPr>
        <w:t>e</w:t>
      </w:r>
      <w:r w:rsidR="00CD6683" w:rsidRPr="00656F7F">
        <w:rPr>
          <w:color w:val="000000"/>
          <w:lang w:val="es-AR"/>
        </w:rPr>
        <w:t>s nacionales, formando parte en delegaciones oficiales que presenten dichos reportes (sea como miembros activos o en calidad de observadores) y colaborando en la implementación de las recomendaciones que se realizaran.</w:t>
      </w:r>
    </w:p>
    <w:p w14:paraId="663E353A" w14:textId="77777777" w:rsidR="00CE4737" w:rsidRDefault="00CE4737" w:rsidP="00DF7172">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8780"/>
      </w:tblGrid>
      <w:tr w:rsidR="008B5588" w:rsidRPr="003F33A4" w14:paraId="4CA12AAE" w14:textId="77777777" w:rsidTr="007E5D1E">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28931912" w14:textId="487EEEF2" w:rsidR="008B5588" w:rsidRPr="00656F7F" w:rsidRDefault="00EA4E25" w:rsidP="00DF7172">
            <w:pPr>
              <w:spacing w:before="120" w:after="120"/>
              <w:jc w:val="both"/>
              <w:rPr>
                <w:rFonts w:eastAsia="Arial" w:cs="Arial"/>
                <w:i/>
                <w:szCs w:val="20"/>
                <w:lang w:val="es-AR"/>
              </w:rPr>
            </w:pPr>
            <w:r>
              <w:rPr>
                <w:i/>
                <w:lang w:val="es-AR"/>
              </w:rPr>
              <w:t xml:space="preserve">Basado en un análisis comparativo mundial, un objetivo al que aspiran los parlamentos en el ámbito de los </w:t>
            </w:r>
            <w:r w:rsidR="00112924" w:rsidRPr="00656F7F">
              <w:rPr>
                <w:i/>
                <w:lang w:val="es-AR"/>
              </w:rPr>
              <w:t>“</w:t>
            </w:r>
            <w:r w:rsidRPr="00656F7F">
              <w:rPr>
                <w:i/>
                <w:lang w:val="es-AR"/>
              </w:rPr>
              <w:t>derechos humanos</w:t>
            </w:r>
            <w:r w:rsidR="00112924" w:rsidRPr="00656F7F">
              <w:rPr>
                <w:i/>
                <w:lang w:val="es-AR"/>
              </w:rPr>
              <w:t>”</w:t>
            </w:r>
            <w:r w:rsidR="008B5588" w:rsidRPr="00656F7F">
              <w:rPr>
                <w:i/>
                <w:lang w:val="es-AR"/>
              </w:rPr>
              <w:t xml:space="preserve"> </w:t>
            </w:r>
            <w:r w:rsidRPr="00656F7F">
              <w:rPr>
                <w:i/>
                <w:lang w:val="es-AR"/>
              </w:rPr>
              <w:t>es el siguiente:</w:t>
            </w:r>
          </w:p>
          <w:p w14:paraId="5239F21F" w14:textId="60B8960A" w:rsidR="0082775D" w:rsidRPr="00656F7F" w:rsidRDefault="00CD6683" w:rsidP="00DF7172">
            <w:pPr>
              <w:spacing w:after="120"/>
              <w:jc w:val="both"/>
              <w:rPr>
                <w:lang w:val="es-AR"/>
              </w:rPr>
            </w:pPr>
            <w:r w:rsidRPr="00656F7F">
              <w:rPr>
                <w:lang w:val="es-AR"/>
              </w:rPr>
              <w:t>El Parlamento tiene el mandato de debatir y ratificar los tratados internacionales de derechos humanos, así como de garantizar que el marco legal nacional sea coherente con las obligaciones internacionales en materia de derechos humanos.</w:t>
            </w:r>
          </w:p>
          <w:p w14:paraId="2B0B4379" w14:textId="1FE24D83" w:rsidR="0082775D" w:rsidRPr="00656F7F" w:rsidRDefault="00CD6683" w:rsidP="00DF7172">
            <w:pPr>
              <w:spacing w:after="120"/>
              <w:jc w:val="both"/>
              <w:rPr>
                <w:color w:val="000000"/>
                <w:lang w:val="es-AR"/>
              </w:rPr>
            </w:pPr>
            <w:r w:rsidRPr="00656F7F">
              <w:rPr>
                <w:color w:val="000000"/>
                <w:lang w:val="es-AR"/>
              </w:rPr>
              <w:t>El Parla</w:t>
            </w:r>
            <w:r w:rsidR="0082775D" w:rsidRPr="00656F7F">
              <w:rPr>
                <w:color w:val="000000"/>
                <w:lang w:val="es-AR"/>
              </w:rPr>
              <w:t>ment</w:t>
            </w:r>
            <w:r w:rsidRPr="00656F7F">
              <w:rPr>
                <w:color w:val="000000"/>
                <w:lang w:val="es-AR"/>
              </w:rPr>
              <w:t xml:space="preserve">o </w:t>
            </w:r>
            <w:r w:rsidR="00E36EC1" w:rsidRPr="00656F7F">
              <w:rPr>
                <w:color w:val="000000"/>
                <w:lang w:val="es-AR"/>
              </w:rPr>
              <w:t>c</w:t>
            </w:r>
            <w:r w:rsidRPr="00656F7F">
              <w:rPr>
                <w:color w:val="000000"/>
                <w:lang w:val="es-AR"/>
              </w:rPr>
              <w:t xml:space="preserve">uenta con una o más comisiones especializadas responsables de los temas de derechos humanos, con facultades para evaluar legislación, políticas públicas y acciones gubernamentales, y para garantizar la compatibilidad con las obligaciones en la materia. </w:t>
            </w:r>
          </w:p>
          <w:p w14:paraId="2CD24D69" w14:textId="0BFE40E0" w:rsidR="0082775D" w:rsidRPr="00656F7F" w:rsidRDefault="00E36EC1" w:rsidP="00DF7172">
            <w:pPr>
              <w:spacing w:after="120"/>
              <w:jc w:val="both"/>
              <w:rPr>
                <w:color w:val="000000"/>
                <w:lang w:val="es-AR"/>
              </w:rPr>
            </w:pPr>
            <w:r w:rsidRPr="00656F7F">
              <w:rPr>
                <w:color w:val="000000"/>
                <w:lang w:val="es-AR"/>
              </w:rPr>
              <w:t>La INDH es</w:t>
            </w:r>
            <w:r w:rsidR="0082775D" w:rsidRPr="00656F7F">
              <w:rPr>
                <w:color w:val="000000"/>
                <w:lang w:val="es-AR"/>
              </w:rPr>
              <w:t xml:space="preserve"> </w:t>
            </w:r>
            <w:r w:rsidR="00F825CB" w:rsidRPr="00656F7F">
              <w:rPr>
                <w:color w:val="000000"/>
                <w:lang w:val="es-AR"/>
              </w:rPr>
              <w:t>establecida</w:t>
            </w:r>
            <w:r w:rsidRPr="00656F7F">
              <w:rPr>
                <w:color w:val="000000"/>
                <w:lang w:val="es-AR"/>
              </w:rPr>
              <w:t xml:space="preserve"> por ley y tiene el mandato y los recursos necesarios para llevar a cabo sus funciones. Su relación con el Parlamento está </w:t>
            </w:r>
            <w:r w:rsidR="00F825CB" w:rsidRPr="00656F7F">
              <w:rPr>
                <w:color w:val="000000"/>
                <w:lang w:val="es-AR"/>
              </w:rPr>
              <w:t>alinead</w:t>
            </w:r>
            <w:r w:rsidRPr="00656F7F">
              <w:rPr>
                <w:color w:val="000000"/>
                <w:lang w:val="es-AR"/>
              </w:rPr>
              <w:t xml:space="preserve">a con los </w:t>
            </w:r>
            <w:r w:rsidRPr="00656F7F">
              <w:rPr>
                <w:i/>
                <w:color w:val="000000"/>
                <w:lang w:val="es-AR"/>
              </w:rPr>
              <w:t>Principios de Belgrado sobre la relación entre las instituciones nacionales de derechos humanos y los parlamentos</w:t>
            </w:r>
            <w:r w:rsidRPr="00656F7F">
              <w:rPr>
                <w:color w:val="000000"/>
                <w:lang w:val="es-AR"/>
              </w:rPr>
              <w:t xml:space="preserve"> </w:t>
            </w:r>
          </w:p>
          <w:p w14:paraId="34C0343F" w14:textId="12725393" w:rsidR="008B5588" w:rsidRPr="00656F7F" w:rsidRDefault="00E36EC1" w:rsidP="00DF7172">
            <w:pPr>
              <w:spacing w:after="120"/>
              <w:jc w:val="both"/>
              <w:rPr>
                <w:color w:val="000000"/>
                <w:lang w:val="es-AR"/>
              </w:rPr>
            </w:pPr>
            <w:r w:rsidRPr="00656F7F">
              <w:rPr>
                <w:color w:val="000000"/>
                <w:lang w:val="es-AR"/>
              </w:rPr>
              <w:t>El Parl</w:t>
            </w:r>
            <w:r w:rsidR="0082775D" w:rsidRPr="00656F7F">
              <w:rPr>
                <w:color w:val="000000"/>
                <w:lang w:val="es-AR"/>
              </w:rPr>
              <w:t>ament</w:t>
            </w:r>
            <w:r w:rsidRPr="00656F7F">
              <w:rPr>
                <w:color w:val="000000"/>
                <w:lang w:val="es-AR"/>
              </w:rPr>
              <w:t>o tiene un rol claro en las diferentes etapas de los procedimientos de informe ante el Consejo de Derechos Humanos de la ONU</w:t>
            </w:r>
            <w:r w:rsidR="0082775D" w:rsidRPr="00656F7F">
              <w:rPr>
                <w:color w:val="000000"/>
                <w:lang w:val="es-AR"/>
              </w:rPr>
              <w:t xml:space="preserve"> </w:t>
            </w:r>
            <w:r w:rsidRPr="00656F7F">
              <w:rPr>
                <w:color w:val="000000"/>
                <w:lang w:val="es-AR"/>
              </w:rPr>
              <w:t xml:space="preserve">en el marco de la </w:t>
            </w:r>
            <w:r w:rsidR="00B45878" w:rsidRPr="00656F7F">
              <w:rPr>
                <w:color w:val="000000"/>
                <w:lang w:val="es-AR"/>
              </w:rPr>
              <w:t>revisión</w:t>
            </w:r>
            <w:r w:rsidRPr="00656F7F">
              <w:rPr>
                <w:color w:val="000000"/>
                <w:lang w:val="es-AR"/>
              </w:rPr>
              <w:t xml:space="preserve"> periódica universal y ante los órganos de los tratados de derechos humanos de la ONU. </w:t>
            </w:r>
            <w:r w:rsidR="00B45878" w:rsidRPr="00656F7F">
              <w:rPr>
                <w:color w:val="000000"/>
                <w:lang w:val="es-AR"/>
              </w:rPr>
              <w:t>Contribuye</w:t>
            </w:r>
            <w:r w:rsidRPr="00656F7F">
              <w:rPr>
                <w:color w:val="000000"/>
                <w:lang w:val="es-AR"/>
              </w:rPr>
              <w:t xml:space="preserve"> a la preparación y presentación de los informes nacionales y a la posterior implementación de las recomendaciones. </w:t>
            </w:r>
          </w:p>
        </w:tc>
      </w:tr>
    </w:tbl>
    <w:p w14:paraId="3F0EF2D6" w14:textId="77777777" w:rsidR="00CE4737" w:rsidRPr="00680D03" w:rsidRDefault="00CE4737" w:rsidP="00DF7172">
      <w:pPr>
        <w:pStyle w:val="section-title"/>
        <w:jc w:val="both"/>
      </w:pPr>
      <w:r w:rsidRPr="00680D03">
        <w:lastRenderedPageBreak/>
        <w:t>Evaluación</w:t>
      </w:r>
    </w:p>
    <w:p w14:paraId="782C6A66" w14:textId="196B22D6" w:rsidR="00EA4E25" w:rsidRDefault="00EA4E25"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48E0D421" w14:textId="557FCC1A" w:rsidR="007E5D1E" w:rsidRPr="00EF72F2" w:rsidRDefault="00EA4E25" w:rsidP="00DF7172">
      <w:pPr>
        <w:spacing w:before="120" w:after="120"/>
        <w:jc w:val="both"/>
        <w:rPr>
          <w:lang w:val="es-AR"/>
        </w:rPr>
      </w:pPr>
      <w:r>
        <w:rPr>
          <w:lang w:val="es-AR"/>
        </w:rPr>
        <w:t>La evidencia para la evaluación de esta dimensi</w:t>
      </w:r>
      <w:r w:rsidR="00EF72F2">
        <w:rPr>
          <w:lang w:val="es-AR"/>
        </w:rPr>
        <w:t>ón podría incluir lo siguiente:</w:t>
      </w:r>
    </w:p>
    <w:p w14:paraId="2606E6C7" w14:textId="77777777" w:rsidR="00773480" w:rsidRPr="00656F7F" w:rsidRDefault="00773480" w:rsidP="00DF7172">
      <w:pPr>
        <w:numPr>
          <w:ilvl w:val="0"/>
          <w:numId w:val="35"/>
        </w:numPr>
        <w:spacing w:before="120" w:after="120"/>
        <w:ind w:left="720" w:hanging="360"/>
        <w:contextualSpacing/>
        <w:jc w:val="both"/>
        <w:rPr>
          <w:lang w:val="es-AR"/>
        </w:rPr>
      </w:pPr>
      <w:r w:rsidRPr="00656F7F">
        <w:rPr>
          <w:lang w:val="es-AR"/>
        </w:rPr>
        <w:t>Disposiciones de la Constitución y/o otros aspectos del marco legal que hacen referencia a las obligaciones internacionales en materia de derechos humanos</w:t>
      </w:r>
    </w:p>
    <w:p w14:paraId="3FE79E52" w14:textId="2C375713" w:rsidR="008B5588" w:rsidRPr="00656F7F" w:rsidRDefault="008B5588" w:rsidP="00DF7172">
      <w:pPr>
        <w:numPr>
          <w:ilvl w:val="0"/>
          <w:numId w:val="35"/>
        </w:numPr>
        <w:spacing w:before="120" w:after="120"/>
        <w:ind w:left="720" w:hanging="360"/>
        <w:contextualSpacing/>
        <w:jc w:val="both"/>
        <w:rPr>
          <w:rFonts w:eastAsia="Arial" w:cs="Arial"/>
          <w:color w:val="000000"/>
          <w:szCs w:val="20"/>
          <w:lang w:val="es-AR"/>
        </w:rPr>
      </w:pPr>
      <w:r w:rsidRPr="00656F7F">
        <w:rPr>
          <w:color w:val="000000"/>
          <w:lang w:val="es-AR"/>
        </w:rPr>
        <w:t>T</w:t>
      </w:r>
      <w:r w:rsidR="00773480" w:rsidRPr="00656F7F">
        <w:rPr>
          <w:lang w:val="es-AR"/>
        </w:rPr>
        <w:t>érminos de referencia para una o más comisiones parlamentarias con responsabilidad en materia de derechos humanos.</w:t>
      </w:r>
    </w:p>
    <w:p w14:paraId="33B173D3" w14:textId="1BCA4246" w:rsidR="008B5588" w:rsidRPr="00656F7F" w:rsidRDefault="00773480" w:rsidP="00DF7172">
      <w:pPr>
        <w:numPr>
          <w:ilvl w:val="0"/>
          <w:numId w:val="35"/>
        </w:numPr>
        <w:spacing w:before="120" w:after="120"/>
        <w:ind w:left="720" w:hanging="360"/>
        <w:contextualSpacing/>
        <w:jc w:val="both"/>
        <w:rPr>
          <w:rFonts w:eastAsia="Arial" w:cs="Arial"/>
          <w:color w:val="000000"/>
          <w:szCs w:val="20"/>
          <w:lang w:val="es-AR"/>
        </w:rPr>
      </w:pPr>
      <w:r w:rsidRPr="00656F7F">
        <w:rPr>
          <w:color w:val="000000"/>
          <w:lang w:val="es-AR"/>
        </w:rPr>
        <w:t>Memorán</w:t>
      </w:r>
      <w:r w:rsidR="008B5588" w:rsidRPr="00656F7F">
        <w:rPr>
          <w:color w:val="000000"/>
          <w:lang w:val="es-AR"/>
        </w:rPr>
        <w:t>d</w:t>
      </w:r>
      <w:r w:rsidR="009B15A2" w:rsidRPr="00656F7F">
        <w:rPr>
          <w:color w:val="000000"/>
          <w:lang w:val="es-AR"/>
        </w:rPr>
        <w:t>ums</w:t>
      </w:r>
      <w:r w:rsidRPr="00656F7F">
        <w:rPr>
          <w:color w:val="000000"/>
          <w:lang w:val="es-AR"/>
        </w:rPr>
        <w:t xml:space="preserve"> de entendimiento u otras formas de cooperación entre la institución nacional de derechos humanos (INDH) y el Parlamento</w:t>
      </w:r>
      <w:r w:rsidR="008B5588" w:rsidRPr="00656F7F">
        <w:rPr>
          <w:color w:val="000000"/>
          <w:lang w:val="es-AR"/>
        </w:rPr>
        <w:t xml:space="preserve"> </w:t>
      </w:r>
    </w:p>
    <w:p w14:paraId="39B53CCB" w14:textId="1E23D871" w:rsidR="008B5588" w:rsidRPr="00656F7F" w:rsidRDefault="00773480" w:rsidP="00DF7172">
      <w:pPr>
        <w:numPr>
          <w:ilvl w:val="0"/>
          <w:numId w:val="35"/>
        </w:numPr>
        <w:spacing w:before="120" w:after="120"/>
        <w:ind w:left="720" w:hanging="360"/>
        <w:contextualSpacing/>
        <w:jc w:val="both"/>
        <w:rPr>
          <w:rFonts w:eastAsia="Arial" w:cs="Arial"/>
          <w:szCs w:val="20"/>
          <w:lang w:val="es-AR"/>
        </w:rPr>
      </w:pPr>
      <w:r w:rsidRPr="00656F7F">
        <w:rPr>
          <w:color w:val="000000"/>
          <w:lang w:val="es-AR"/>
        </w:rPr>
        <w:t xml:space="preserve">Informes de las comisiones parlamentarias que muestren la evidencia y la interacción regular de las instituciones nacionales de derechos humanos y las organizaciones de la sociedad civil (OSCs) </w:t>
      </w:r>
    </w:p>
    <w:p w14:paraId="7FDDDA24" w14:textId="43EF387E" w:rsidR="00F825CB" w:rsidRPr="00656F7F" w:rsidRDefault="0082775D" w:rsidP="00DF7172">
      <w:pPr>
        <w:numPr>
          <w:ilvl w:val="0"/>
          <w:numId w:val="35"/>
        </w:numPr>
        <w:spacing w:before="120" w:after="120"/>
        <w:ind w:left="720" w:hanging="360"/>
        <w:contextualSpacing/>
        <w:jc w:val="both"/>
        <w:rPr>
          <w:rFonts w:eastAsia="Arial" w:cs="Arial"/>
          <w:szCs w:val="20"/>
          <w:lang w:val="es-AR"/>
        </w:rPr>
      </w:pPr>
      <w:r w:rsidRPr="00656F7F">
        <w:rPr>
          <w:color w:val="000000"/>
          <w:lang w:val="es-AR"/>
        </w:rPr>
        <w:t>Deta</w:t>
      </w:r>
      <w:r w:rsidR="00773480" w:rsidRPr="00656F7F">
        <w:rPr>
          <w:color w:val="000000"/>
          <w:lang w:val="es-AR"/>
        </w:rPr>
        <w:t xml:space="preserve">lles de la composición de las delegaciones nacionales ante los mecanismos de derechos humanos de la ONU que demuestren la participación de los legisladores en las mismas. </w:t>
      </w:r>
      <w:bookmarkStart w:id="0" w:name="_heading=h.cj0ipiglkoje"/>
      <w:bookmarkEnd w:id="0"/>
    </w:p>
    <w:p w14:paraId="4B571782" w14:textId="77777777" w:rsidR="00F825CB" w:rsidRPr="00656F7F" w:rsidRDefault="00F825CB" w:rsidP="00DF7172">
      <w:pPr>
        <w:spacing w:before="120" w:after="120"/>
        <w:ind w:left="720"/>
        <w:contextualSpacing/>
        <w:jc w:val="both"/>
        <w:rPr>
          <w:rFonts w:eastAsia="Arial" w:cs="Arial"/>
          <w:sz w:val="12"/>
          <w:szCs w:val="20"/>
          <w:lang w:val="es-AR"/>
        </w:rPr>
      </w:pPr>
    </w:p>
    <w:p w14:paraId="7FF14B74" w14:textId="77777777" w:rsidR="00773480" w:rsidRDefault="00773480" w:rsidP="00DF7172">
      <w:pPr>
        <w:spacing w:before="120" w:after="120"/>
        <w:jc w:val="both"/>
        <w:rPr>
          <w:szCs w:val="20"/>
          <w:lang w:val="es-AR"/>
        </w:rPr>
      </w:pPr>
      <w:r>
        <w:rPr>
          <w:lang w:val="es-AR"/>
        </w:rPr>
        <w:t>Cuando corresponda, proporcione comentarios adicionales o ejemplos que respalden la evaluación.</w:t>
      </w:r>
    </w:p>
    <w:p w14:paraId="2AF3E632" w14:textId="2126976B" w:rsidR="008B5588" w:rsidRPr="00656F7F" w:rsidRDefault="00CE4737" w:rsidP="00DF7172">
      <w:pPr>
        <w:pStyle w:val="Heading4"/>
        <w:jc w:val="both"/>
        <w:rPr>
          <w:rFonts w:cstheme="majorBidi"/>
          <w:lang w:val="es-AR"/>
        </w:rPr>
      </w:pPr>
      <w:r>
        <w:rPr>
          <w:lang w:val="es-AR"/>
        </w:rPr>
        <w:t xml:space="preserve">Criterio de evaluación </w:t>
      </w:r>
      <w:r w:rsidR="008B5588" w:rsidRPr="00656F7F">
        <w:rPr>
          <w:lang w:val="es-AR"/>
        </w:rPr>
        <w:t xml:space="preserve">1: </w:t>
      </w:r>
      <w:r w:rsidR="00CC1CDF" w:rsidRPr="00656F7F">
        <w:rPr>
          <w:lang w:val="es-AR"/>
        </w:rPr>
        <w:t>Obligaciones internacionales de derechos humanos</w:t>
      </w:r>
    </w:p>
    <w:p w14:paraId="69D2CAE0" w14:textId="5FD6EF79" w:rsidR="008B5588" w:rsidRPr="00656F7F" w:rsidRDefault="00CC1CDF" w:rsidP="00DF7172">
      <w:pPr>
        <w:spacing w:after="120"/>
        <w:jc w:val="both"/>
        <w:rPr>
          <w:lang w:val="es-AR"/>
        </w:rPr>
      </w:pPr>
      <w:r w:rsidRPr="00656F7F">
        <w:rPr>
          <w:lang w:val="es-AR"/>
        </w:rPr>
        <w:t>El Parlamento tiene el mandato de debatir y ratificar tratados internacionales de derechos humanos, y garantizar que el marco legal nacional sea coherente con las obligaciones internacionales en la materia.</w:t>
      </w:r>
    </w:p>
    <w:tbl>
      <w:tblPr>
        <w:tblW w:w="4976" w:type="pct"/>
        <w:tblInd w:w="20" w:type="dxa"/>
        <w:tblLook w:val="0400" w:firstRow="0" w:lastRow="0" w:firstColumn="0" w:lastColumn="0" w:noHBand="0" w:noVBand="1"/>
      </w:tblPr>
      <w:tblGrid>
        <w:gridCol w:w="1455"/>
        <w:gridCol w:w="1456"/>
        <w:gridCol w:w="1456"/>
        <w:gridCol w:w="1456"/>
        <w:gridCol w:w="1456"/>
        <w:gridCol w:w="1459"/>
      </w:tblGrid>
      <w:tr w:rsidR="00CE7E17" w:rsidRPr="004D0354" w14:paraId="3696AEE0"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C63E40" w14:textId="77777777" w:rsidR="00CE7E17" w:rsidRDefault="00CE7E17" w:rsidP="00DF7172">
            <w:pPr>
              <w:jc w:val="both"/>
              <w:rPr>
                <w:szCs w:val="20"/>
              </w:rPr>
            </w:pPr>
            <w:r>
              <w:t>Inexistente</w:t>
            </w:r>
          </w:p>
          <w:sdt>
            <w:sdtPr>
              <w:rPr>
                <w:rFonts w:eastAsia="Arimo"/>
                <w:szCs w:val="20"/>
              </w:rPr>
              <w:id w:val="-621156833"/>
              <w14:checkbox>
                <w14:checked w14:val="0"/>
                <w14:checkedState w14:val="2612" w14:font="MS Gothic"/>
                <w14:uncheckedState w14:val="2610" w14:font="MS Gothic"/>
              </w14:checkbox>
            </w:sdtPr>
            <w:sdtEndPr/>
            <w:sdtContent>
              <w:p w14:paraId="5F993E63" w14:textId="1D4EF3A5"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1C281F7" w14:textId="77777777" w:rsidR="00CE7E17" w:rsidRDefault="00CE7E17" w:rsidP="00DF7172">
            <w:pPr>
              <w:jc w:val="both"/>
              <w:rPr>
                <w:szCs w:val="20"/>
              </w:rPr>
            </w:pPr>
            <w:r>
              <w:t>Rudimentario</w:t>
            </w:r>
          </w:p>
          <w:sdt>
            <w:sdtPr>
              <w:rPr>
                <w:rFonts w:eastAsia="Arimo"/>
                <w:szCs w:val="20"/>
              </w:rPr>
              <w:id w:val="-1693370651"/>
              <w14:checkbox>
                <w14:checked w14:val="0"/>
                <w14:checkedState w14:val="2612" w14:font="MS Gothic"/>
                <w14:uncheckedState w14:val="2610" w14:font="MS Gothic"/>
              </w14:checkbox>
            </w:sdtPr>
            <w:sdtEndPr/>
            <w:sdtContent>
              <w:p w14:paraId="04ECEA45" w14:textId="3E009DCC"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73FD7E" w14:textId="77777777" w:rsidR="00CE7E17" w:rsidRDefault="00CE7E17" w:rsidP="00DF7172">
            <w:pPr>
              <w:jc w:val="both"/>
              <w:rPr>
                <w:szCs w:val="20"/>
              </w:rPr>
            </w:pPr>
            <w:r>
              <w:t>Básico</w:t>
            </w:r>
          </w:p>
          <w:sdt>
            <w:sdtPr>
              <w:rPr>
                <w:rFonts w:eastAsia="Arimo"/>
                <w:szCs w:val="20"/>
              </w:rPr>
              <w:id w:val="1249546019"/>
              <w14:checkbox>
                <w14:checked w14:val="0"/>
                <w14:checkedState w14:val="2612" w14:font="MS Gothic"/>
                <w14:uncheckedState w14:val="2610" w14:font="MS Gothic"/>
              </w14:checkbox>
            </w:sdtPr>
            <w:sdtEndPr/>
            <w:sdtContent>
              <w:p w14:paraId="3A99C3FB" w14:textId="49D0A297"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E38A19" w14:textId="77777777" w:rsidR="00CE7E17" w:rsidRDefault="00CE7E17" w:rsidP="00DF7172">
            <w:pPr>
              <w:jc w:val="both"/>
              <w:rPr>
                <w:szCs w:val="20"/>
              </w:rPr>
            </w:pPr>
            <w:r>
              <w:t>Bueno</w:t>
            </w:r>
          </w:p>
          <w:sdt>
            <w:sdtPr>
              <w:rPr>
                <w:rFonts w:eastAsia="Arimo"/>
                <w:szCs w:val="20"/>
              </w:rPr>
              <w:id w:val="2143622926"/>
              <w14:checkbox>
                <w14:checked w14:val="0"/>
                <w14:checkedState w14:val="2612" w14:font="MS Gothic"/>
                <w14:uncheckedState w14:val="2610" w14:font="MS Gothic"/>
              </w14:checkbox>
            </w:sdtPr>
            <w:sdtEndPr/>
            <w:sdtContent>
              <w:p w14:paraId="7BD2AF79" w14:textId="7835A530"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5497E2" w14:textId="77777777" w:rsidR="00CE7E17" w:rsidRDefault="00CE7E17" w:rsidP="00DF7172">
            <w:pPr>
              <w:jc w:val="both"/>
              <w:rPr>
                <w:szCs w:val="20"/>
              </w:rPr>
            </w:pPr>
            <w:r>
              <w:t>Muy bueno</w:t>
            </w:r>
          </w:p>
          <w:sdt>
            <w:sdtPr>
              <w:rPr>
                <w:rFonts w:eastAsia="Arimo"/>
                <w:szCs w:val="20"/>
              </w:rPr>
              <w:id w:val="-1030719078"/>
              <w14:checkbox>
                <w14:checked w14:val="0"/>
                <w14:checkedState w14:val="2612" w14:font="MS Gothic"/>
                <w14:uncheckedState w14:val="2610" w14:font="MS Gothic"/>
              </w14:checkbox>
            </w:sdtPr>
            <w:sdtEndPr/>
            <w:sdtContent>
              <w:p w14:paraId="6893FD12" w14:textId="0D536769" w:rsidR="00CE7E17" w:rsidRPr="004D0354" w:rsidRDefault="00CE7E17"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EF86A0"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618878687"/>
              <w14:checkbox>
                <w14:checked w14:val="0"/>
                <w14:checkedState w14:val="2612" w14:font="MS Gothic"/>
                <w14:uncheckedState w14:val="2610" w14:font="MS Gothic"/>
              </w14:checkbox>
            </w:sdtPr>
            <w:sdtEndPr/>
            <w:sdtContent>
              <w:p w14:paraId="636F0EC6" w14:textId="500C5C80" w:rsidR="00CE7E17" w:rsidRPr="004D0354" w:rsidRDefault="00CE7E17" w:rsidP="00DF7172">
                <w:pPr>
                  <w:jc w:val="both"/>
                  <w:rPr>
                    <w:szCs w:val="20"/>
                  </w:rPr>
                </w:pPr>
                <w:r w:rsidRPr="004D0354">
                  <w:rPr>
                    <w:rFonts w:ascii="MS Gothic" w:eastAsia="MS Gothic" w:hAnsi="MS Gothic" w:cs="Arial"/>
                    <w:szCs w:val="20"/>
                  </w:rPr>
                  <w:t>☐</w:t>
                </w:r>
              </w:p>
            </w:sdtContent>
          </w:sdt>
        </w:tc>
      </w:tr>
      <w:tr w:rsidR="00CE7E17" w:rsidRPr="00DF7172" w14:paraId="374C44A0"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457312" w14:textId="77777777" w:rsidR="00CE7E17" w:rsidRDefault="00CE7E17" w:rsidP="00DF7172">
            <w:pPr>
              <w:jc w:val="both"/>
              <w:rPr>
                <w:color w:val="005F9A"/>
                <w:szCs w:val="20"/>
                <w:lang w:val="es-AR"/>
              </w:rPr>
            </w:pPr>
            <w:r>
              <w:rPr>
                <w:color w:val="005F9A"/>
                <w:lang w:val="es-AR"/>
              </w:rPr>
              <w:t>Evidencia para este criterio de evaluación:</w:t>
            </w:r>
          </w:p>
          <w:p w14:paraId="545C217A" w14:textId="77777777" w:rsidR="00CE7E17" w:rsidRPr="00C36134" w:rsidRDefault="00CE7E17" w:rsidP="00DF7172">
            <w:pPr>
              <w:jc w:val="both"/>
              <w:rPr>
                <w:color w:val="0000FF"/>
                <w:szCs w:val="20"/>
                <w:lang w:val="es-AR"/>
              </w:rPr>
            </w:pPr>
          </w:p>
          <w:p w14:paraId="79331226" w14:textId="77777777" w:rsidR="00CE7E17" w:rsidRPr="00656F7F" w:rsidRDefault="00CE7E17" w:rsidP="00DF7172">
            <w:pPr>
              <w:jc w:val="both"/>
              <w:rPr>
                <w:color w:val="0000FF"/>
                <w:szCs w:val="20"/>
                <w:lang w:val="es-AR"/>
              </w:rPr>
            </w:pPr>
          </w:p>
        </w:tc>
      </w:tr>
    </w:tbl>
    <w:p w14:paraId="242D3FCD" w14:textId="55EB2C05" w:rsidR="008B5588" w:rsidRPr="00656F7F" w:rsidRDefault="00CE4737" w:rsidP="00DF7172">
      <w:pPr>
        <w:pStyle w:val="Heading4"/>
        <w:jc w:val="both"/>
        <w:rPr>
          <w:lang w:val="es-AR"/>
        </w:rPr>
      </w:pPr>
      <w:bookmarkStart w:id="1" w:name="_heading=h.yizmg9m1o66j"/>
      <w:bookmarkStart w:id="2" w:name="_heading=h.bsjt14u7o3fy"/>
      <w:bookmarkEnd w:id="1"/>
      <w:bookmarkEnd w:id="2"/>
      <w:r>
        <w:rPr>
          <w:lang w:val="es-AR"/>
        </w:rPr>
        <w:t xml:space="preserve">Criterio de evaluación </w:t>
      </w:r>
      <w:r w:rsidR="008B5588" w:rsidRPr="00656F7F">
        <w:rPr>
          <w:lang w:val="es-AR"/>
        </w:rPr>
        <w:t xml:space="preserve">2: </w:t>
      </w:r>
      <w:r w:rsidR="00E400E7" w:rsidRPr="00656F7F">
        <w:rPr>
          <w:lang w:val="es-AR"/>
        </w:rPr>
        <w:t>Comisiones especializadas</w:t>
      </w:r>
    </w:p>
    <w:p w14:paraId="76F562F4" w14:textId="3C3621F7" w:rsidR="008B5588" w:rsidRPr="00656F7F" w:rsidRDefault="00F825CB" w:rsidP="00DF7172">
      <w:pPr>
        <w:spacing w:after="120"/>
        <w:jc w:val="both"/>
        <w:rPr>
          <w:rFonts w:eastAsia="Arial" w:cs="Arial"/>
          <w:szCs w:val="20"/>
          <w:lang w:val="es-AR"/>
        </w:rPr>
      </w:pPr>
      <w:r w:rsidRPr="00656F7F">
        <w:rPr>
          <w:lang w:val="es-AR"/>
        </w:rPr>
        <w:t xml:space="preserve">El </w:t>
      </w:r>
      <w:r w:rsidR="00DF4F0E" w:rsidRPr="00656F7F">
        <w:rPr>
          <w:lang w:val="es-AR"/>
        </w:rPr>
        <w:t>P</w:t>
      </w:r>
      <w:r w:rsidRPr="00656F7F">
        <w:rPr>
          <w:lang w:val="es-AR"/>
        </w:rPr>
        <w:t xml:space="preserve">arlamento cuenta con una o más comisiones especializadas responsables de los temas de derechos humanos, con facultades </w:t>
      </w:r>
      <w:r w:rsidRPr="00656F7F">
        <w:rPr>
          <w:color w:val="000000"/>
          <w:lang w:val="es-AR"/>
        </w:rPr>
        <w:t>para evaluar legislación, políticas públicas y acciones gubernamentales, y para garantizar la compatibilidad con las obligaciones en la materia.</w:t>
      </w:r>
    </w:p>
    <w:tbl>
      <w:tblPr>
        <w:tblW w:w="4982" w:type="pct"/>
        <w:tblInd w:w="15" w:type="dxa"/>
        <w:tblLook w:val="0400" w:firstRow="0" w:lastRow="0" w:firstColumn="0" w:lastColumn="0" w:noHBand="0" w:noVBand="1"/>
      </w:tblPr>
      <w:tblGrid>
        <w:gridCol w:w="1458"/>
        <w:gridCol w:w="1458"/>
        <w:gridCol w:w="1457"/>
        <w:gridCol w:w="1457"/>
        <w:gridCol w:w="1457"/>
        <w:gridCol w:w="1461"/>
      </w:tblGrid>
      <w:tr w:rsidR="00CE7E17" w:rsidRPr="004D0354" w14:paraId="6DDB68A1"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D776E09" w14:textId="7FBE584E" w:rsidR="00CE7E17" w:rsidRDefault="008B5588" w:rsidP="00DF7172">
            <w:pPr>
              <w:jc w:val="both"/>
              <w:rPr>
                <w:szCs w:val="20"/>
              </w:rPr>
            </w:pPr>
            <w:r w:rsidRPr="00656F7F">
              <w:rPr>
                <w:lang w:val="es-AR"/>
              </w:rPr>
              <w:t xml:space="preserve"> </w:t>
            </w:r>
            <w:bookmarkStart w:id="3" w:name="_heading=h.u5f58iyq0umz"/>
            <w:bookmarkEnd w:id="3"/>
            <w:r w:rsidR="00CE7E17">
              <w:t>Inexistente</w:t>
            </w:r>
          </w:p>
          <w:sdt>
            <w:sdtPr>
              <w:rPr>
                <w:rFonts w:eastAsia="Arimo"/>
                <w:szCs w:val="20"/>
              </w:rPr>
              <w:id w:val="1743057125"/>
              <w14:checkbox>
                <w14:checked w14:val="0"/>
                <w14:checkedState w14:val="2612" w14:font="MS Gothic"/>
                <w14:uncheckedState w14:val="2610" w14:font="MS Gothic"/>
              </w14:checkbox>
            </w:sdtPr>
            <w:sdtEndPr/>
            <w:sdtContent>
              <w:p w14:paraId="444CE1BB" w14:textId="69C55B02"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C11DAEA" w14:textId="77777777" w:rsidR="00CE7E17" w:rsidRDefault="00CE7E17" w:rsidP="00DF7172">
            <w:pPr>
              <w:jc w:val="both"/>
              <w:rPr>
                <w:szCs w:val="20"/>
              </w:rPr>
            </w:pPr>
            <w:r>
              <w:t>Rudimentario</w:t>
            </w:r>
          </w:p>
          <w:sdt>
            <w:sdtPr>
              <w:rPr>
                <w:rFonts w:eastAsia="Arimo"/>
                <w:szCs w:val="20"/>
              </w:rPr>
              <w:id w:val="-175812881"/>
              <w14:checkbox>
                <w14:checked w14:val="0"/>
                <w14:checkedState w14:val="2612" w14:font="MS Gothic"/>
                <w14:uncheckedState w14:val="2610" w14:font="MS Gothic"/>
              </w14:checkbox>
            </w:sdtPr>
            <w:sdtEndPr/>
            <w:sdtContent>
              <w:p w14:paraId="4C496195" w14:textId="2407FA15"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C67AFD" w14:textId="77777777" w:rsidR="00CE7E17" w:rsidRDefault="00CE7E17" w:rsidP="00DF7172">
            <w:pPr>
              <w:jc w:val="both"/>
              <w:rPr>
                <w:szCs w:val="20"/>
              </w:rPr>
            </w:pPr>
            <w:r>
              <w:t>Básico</w:t>
            </w:r>
          </w:p>
          <w:sdt>
            <w:sdtPr>
              <w:rPr>
                <w:rFonts w:eastAsia="Arimo"/>
                <w:szCs w:val="20"/>
              </w:rPr>
              <w:id w:val="-1929565826"/>
              <w14:checkbox>
                <w14:checked w14:val="0"/>
                <w14:checkedState w14:val="2612" w14:font="MS Gothic"/>
                <w14:uncheckedState w14:val="2610" w14:font="MS Gothic"/>
              </w14:checkbox>
            </w:sdtPr>
            <w:sdtEndPr/>
            <w:sdtContent>
              <w:p w14:paraId="22C4680A" w14:textId="5968F5C1"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32CCC7" w14:textId="77777777" w:rsidR="00CE7E17" w:rsidRDefault="00CE7E17" w:rsidP="00DF7172">
            <w:pPr>
              <w:jc w:val="both"/>
              <w:rPr>
                <w:szCs w:val="20"/>
              </w:rPr>
            </w:pPr>
            <w:r>
              <w:t>Bueno</w:t>
            </w:r>
          </w:p>
          <w:sdt>
            <w:sdtPr>
              <w:rPr>
                <w:rFonts w:eastAsia="Arimo"/>
                <w:szCs w:val="20"/>
              </w:rPr>
              <w:id w:val="290714019"/>
              <w14:checkbox>
                <w14:checked w14:val="0"/>
                <w14:checkedState w14:val="2612" w14:font="MS Gothic"/>
                <w14:uncheckedState w14:val="2610" w14:font="MS Gothic"/>
              </w14:checkbox>
            </w:sdtPr>
            <w:sdtEndPr/>
            <w:sdtContent>
              <w:p w14:paraId="7532B481" w14:textId="1CE6ADFC"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286DBB" w14:textId="77777777" w:rsidR="00CE7E17" w:rsidRDefault="00CE7E17" w:rsidP="00DF7172">
            <w:pPr>
              <w:jc w:val="both"/>
              <w:rPr>
                <w:szCs w:val="20"/>
              </w:rPr>
            </w:pPr>
            <w:r>
              <w:t>Muy bueno</w:t>
            </w:r>
          </w:p>
          <w:sdt>
            <w:sdtPr>
              <w:rPr>
                <w:rFonts w:eastAsia="Arimo"/>
                <w:szCs w:val="20"/>
              </w:rPr>
              <w:id w:val="1951744536"/>
              <w14:checkbox>
                <w14:checked w14:val="0"/>
                <w14:checkedState w14:val="2612" w14:font="MS Gothic"/>
                <w14:uncheckedState w14:val="2610" w14:font="MS Gothic"/>
              </w14:checkbox>
            </w:sdtPr>
            <w:sdtEndPr/>
            <w:sdtContent>
              <w:p w14:paraId="035604F6" w14:textId="40065D80" w:rsidR="00CE7E17" w:rsidRPr="004D0354" w:rsidRDefault="00CE7E17"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AEFE23"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17384458"/>
              <w14:checkbox>
                <w14:checked w14:val="0"/>
                <w14:checkedState w14:val="2612" w14:font="MS Gothic"/>
                <w14:uncheckedState w14:val="2610" w14:font="MS Gothic"/>
              </w14:checkbox>
            </w:sdtPr>
            <w:sdtEndPr/>
            <w:sdtContent>
              <w:p w14:paraId="709060B8" w14:textId="47583DA9" w:rsidR="00CE7E17" w:rsidRPr="004D0354" w:rsidRDefault="00CE7E17" w:rsidP="00DF7172">
                <w:pPr>
                  <w:jc w:val="both"/>
                  <w:rPr>
                    <w:szCs w:val="20"/>
                  </w:rPr>
                </w:pPr>
                <w:r w:rsidRPr="004D0354">
                  <w:rPr>
                    <w:rFonts w:ascii="MS Gothic" w:eastAsia="MS Gothic" w:hAnsi="MS Gothic" w:cs="Arial"/>
                    <w:szCs w:val="20"/>
                  </w:rPr>
                  <w:t>☐</w:t>
                </w:r>
              </w:p>
            </w:sdtContent>
          </w:sdt>
        </w:tc>
      </w:tr>
      <w:tr w:rsidR="00CE7E17" w:rsidRPr="00DF7172" w14:paraId="78388918"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425809" w14:textId="77777777" w:rsidR="00CE7E17" w:rsidRDefault="00CE7E17" w:rsidP="00DF7172">
            <w:pPr>
              <w:jc w:val="both"/>
              <w:rPr>
                <w:color w:val="005F9A"/>
                <w:szCs w:val="20"/>
                <w:lang w:val="es-AR"/>
              </w:rPr>
            </w:pPr>
            <w:r>
              <w:rPr>
                <w:color w:val="005F9A"/>
                <w:lang w:val="es-AR"/>
              </w:rPr>
              <w:t>Evidencia para este criterio de evaluación:</w:t>
            </w:r>
          </w:p>
          <w:p w14:paraId="4F380A5D" w14:textId="77777777" w:rsidR="00CE7E17" w:rsidRPr="00C36134" w:rsidRDefault="00CE7E17" w:rsidP="00DF7172">
            <w:pPr>
              <w:jc w:val="both"/>
              <w:rPr>
                <w:color w:val="0000FF"/>
                <w:szCs w:val="20"/>
                <w:lang w:val="es-AR"/>
              </w:rPr>
            </w:pPr>
          </w:p>
          <w:p w14:paraId="05CF2E86" w14:textId="77777777" w:rsidR="00CE7E17" w:rsidRPr="00656F7F" w:rsidRDefault="00CE7E17" w:rsidP="00DF7172">
            <w:pPr>
              <w:jc w:val="both"/>
              <w:rPr>
                <w:color w:val="0000FF"/>
                <w:szCs w:val="20"/>
                <w:lang w:val="es-AR"/>
              </w:rPr>
            </w:pPr>
          </w:p>
        </w:tc>
      </w:tr>
    </w:tbl>
    <w:p w14:paraId="6CF3BA20" w14:textId="603066CE" w:rsidR="008B5588" w:rsidRPr="00656F7F" w:rsidRDefault="00CE4737" w:rsidP="00DF7172">
      <w:pPr>
        <w:pStyle w:val="Heading4"/>
        <w:jc w:val="both"/>
        <w:rPr>
          <w:lang w:val="es-AR"/>
        </w:rPr>
      </w:pPr>
      <w:r>
        <w:rPr>
          <w:lang w:val="es-AR"/>
        </w:rPr>
        <w:t xml:space="preserve">Criterio de evaluación </w:t>
      </w:r>
      <w:r w:rsidR="008B5588" w:rsidRPr="00656F7F">
        <w:rPr>
          <w:lang w:val="es-AR"/>
        </w:rPr>
        <w:t xml:space="preserve">3: </w:t>
      </w:r>
      <w:r w:rsidR="00E400E7" w:rsidRPr="00656F7F">
        <w:rPr>
          <w:lang w:val="es-AR"/>
        </w:rPr>
        <w:t>I</w:t>
      </w:r>
      <w:r w:rsidR="00946B3F" w:rsidRPr="00656F7F">
        <w:rPr>
          <w:lang w:val="es-AR"/>
        </w:rPr>
        <w:t>nstituciones nacionales de derechos humanos (INDH)</w:t>
      </w:r>
    </w:p>
    <w:p w14:paraId="5D38415A" w14:textId="388455E9" w:rsidR="008B5588" w:rsidRPr="00656F7F" w:rsidRDefault="00F825CB" w:rsidP="00DF7172">
      <w:pPr>
        <w:spacing w:after="120"/>
        <w:jc w:val="both"/>
        <w:rPr>
          <w:color w:val="000000"/>
          <w:lang w:val="es-AR"/>
        </w:rPr>
      </w:pPr>
      <w:r w:rsidRPr="00656F7F">
        <w:rPr>
          <w:color w:val="000000"/>
          <w:lang w:val="es-AR"/>
        </w:rPr>
        <w:t xml:space="preserve">La INDH es establecida por ley y tiene el mandato y los recursos necesarios para llevar a cabo sus funciones. Su relación con el Parlamento está alineada con los </w:t>
      </w:r>
      <w:r w:rsidRPr="00656F7F">
        <w:rPr>
          <w:i/>
          <w:color w:val="000000"/>
          <w:lang w:val="es-AR"/>
        </w:rPr>
        <w:t>Principios de Belgrado sobre la relación entre las instituciones nacionales de derechos humanos y los parlamentos</w:t>
      </w:r>
      <w:r w:rsidRPr="00656F7F">
        <w:rPr>
          <w:color w:val="000000"/>
          <w:lang w:val="es-AR"/>
        </w:rPr>
        <w:t xml:space="preserve"> </w:t>
      </w:r>
    </w:p>
    <w:tbl>
      <w:tblPr>
        <w:tblW w:w="4988" w:type="pct"/>
        <w:tblInd w:w="10" w:type="dxa"/>
        <w:tblLook w:val="0400" w:firstRow="0" w:lastRow="0" w:firstColumn="0" w:lastColumn="0" w:noHBand="0" w:noVBand="1"/>
      </w:tblPr>
      <w:tblGrid>
        <w:gridCol w:w="1460"/>
        <w:gridCol w:w="1459"/>
        <w:gridCol w:w="1459"/>
        <w:gridCol w:w="1459"/>
        <w:gridCol w:w="1459"/>
        <w:gridCol w:w="1463"/>
      </w:tblGrid>
      <w:tr w:rsidR="00CE7E17" w:rsidRPr="004D0354" w14:paraId="1A35F40B"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156808E" w14:textId="77777777" w:rsidR="00CE7E17" w:rsidRDefault="00CE7E17" w:rsidP="00DF7172">
            <w:pPr>
              <w:jc w:val="both"/>
              <w:rPr>
                <w:szCs w:val="20"/>
              </w:rPr>
            </w:pPr>
            <w:r>
              <w:t>Inexistente</w:t>
            </w:r>
          </w:p>
          <w:sdt>
            <w:sdtPr>
              <w:rPr>
                <w:rFonts w:eastAsia="Arimo"/>
                <w:szCs w:val="20"/>
              </w:rPr>
              <w:id w:val="-10141043"/>
              <w14:checkbox>
                <w14:checked w14:val="0"/>
                <w14:checkedState w14:val="2612" w14:font="MS Gothic"/>
                <w14:uncheckedState w14:val="2610" w14:font="MS Gothic"/>
              </w14:checkbox>
            </w:sdtPr>
            <w:sdtEndPr/>
            <w:sdtContent>
              <w:p w14:paraId="0ED4EA94" w14:textId="5E8EA099"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4B37A9" w14:textId="77777777" w:rsidR="00CE7E17" w:rsidRDefault="00CE7E17" w:rsidP="00DF7172">
            <w:pPr>
              <w:jc w:val="both"/>
              <w:rPr>
                <w:szCs w:val="20"/>
              </w:rPr>
            </w:pPr>
            <w:r>
              <w:t>Rudimentario</w:t>
            </w:r>
          </w:p>
          <w:sdt>
            <w:sdtPr>
              <w:rPr>
                <w:rFonts w:eastAsia="Arimo"/>
                <w:szCs w:val="20"/>
              </w:rPr>
              <w:id w:val="1610541927"/>
              <w14:checkbox>
                <w14:checked w14:val="0"/>
                <w14:checkedState w14:val="2612" w14:font="MS Gothic"/>
                <w14:uncheckedState w14:val="2610" w14:font="MS Gothic"/>
              </w14:checkbox>
            </w:sdtPr>
            <w:sdtEndPr/>
            <w:sdtContent>
              <w:p w14:paraId="106EAF30" w14:textId="21A31880"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A492F1" w14:textId="77777777" w:rsidR="00CE7E17" w:rsidRDefault="00CE7E17" w:rsidP="00DF7172">
            <w:pPr>
              <w:jc w:val="both"/>
              <w:rPr>
                <w:szCs w:val="20"/>
              </w:rPr>
            </w:pPr>
            <w:r>
              <w:t>Básico</w:t>
            </w:r>
          </w:p>
          <w:sdt>
            <w:sdtPr>
              <w:rPr>
                <w:rFonts w:eastAsia="Arimo"/>
                <w:szCs w:val="20"/>
              </w:rPr>
              <w:id w:val="1094133783"/>
              <w14:checkbox>
                <w14:checked w14:val="0"/>
                <w14:checkedState w14:val="2612" w14:font="MS Gothic"/>
                <w14:uncheckedState w14:val="2610" w14:font="MS Gothic"/>
              </w14:checkbox>
            </w:sdtPr>
            <w:sdtEndPr/>
            <w:sdtContent>
              <w:p w14:paraId="1824D219" w14:textId="3AA61A31"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DF21F2" w14:textId="77777777" w:rsidR="00CE7E17" w:rsidRDefault="00CE7E17" w:rsidP="00DF7172">
            <w:pPr>
              <w:jc w:val="both"/>
              <w:rPr>
                <w:szCs w:val="20"/>
              </w:rPr>
            </w:pPr>
            <w:r>
              <w:t>Bueno</w:t>
            </w:r>
          </w:p>
          <w:sdt>
            <w:sdtPr>
              <w:rPr>
                <w:rFonts w:eastAsia="Arimo"/>
                <w:szCs w:val="20"/>
              </w:rPr>
              <w:id w:val="926232123"/>
              <w14:checkbox>
                <w14:checked w14:val="0"/>
                <w14:checkedState w14:val="2612" w14:font="MS Gothic"/>
                <w14:uncheckedState w14:val="2610" w14:font="MS Gothic"/>
              </w14:checkbox>
            </w:sdtPr>
            <w:sdtEndPr/>
            <w:sdtContent>
              <w:p w14:paraId="37810301" w14:textId="2225E974"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82DF5B" w14:textId="77777777" w:rsidR="00CE7E17" w:rsidRDefault="00CE7E17" w:rsidP="00DF7172">
            <w:pPr>
              <w:jc w:val="both"/>
              <w:rPr>
                <w:szCs w:val="20"/>
              </w:rPr>
            </w:pPr>
            <w:r>
              <w:t>Muy bueno</w:t>
            </w:r>
          </w:p>
          <w:sdt>
            <w:sdtPr>
              <w:rPr>
                <w:rFonts w:eastAsia="Arimo"/>
                <w:szCs w:val="20"/>
              </w:rPr>
              <w:id w:val="-421414506"/>
              <w14:checkbox>
                <w14:checked w14:val="0"/>
                <w14:checkedState w14:val="2612" w14:font="MS Gothic"/>
                <w14:uncheckedState w14:val="2610" w14:font="MS Gothic"/>
              </w14:checkbox>
            </w:sdtPr>
            <w:sdtEndPr/>
            <w:sdtContent>
              <w:p w14:paraId="6DC5D242" w14:textId="64BF63F3" w:rsidR="00CE7E17" w:rsidRPr="004D0354" w:rsidRDefault="00CE7E17"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F9E7D3F"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31136305"/>
              <w14:checkbox>
                <w14:checked w14:val="0"/>
                <w14:checkedState w14:val="2612" w14:font="MS Gothic"/>
                <w14:uncheckedState w14:val="2610" w14:font="MS Gothic"/>
              </w14:checkbox>
            </w:sdtPr>
            <w:sdtEndPr/>
            <w:sdtContent>
              <w:p w14:paraId="403707E0" w14:textId="4E378F76" w:rsidR="00CE7E17" w:rsidRPr="004D0354" w:rsidRDefault="00CE7E17" w:rsidP="00DF7172">
                <w:pPr>
                  <w:jc w:val="both"/>
                  <w:rPr>
                    <w:szCs w:val="20"/>
                  </w:rPr>
                </w:pPr>
                <w:r w:rsidRPr="004D0354">
                  <w:rPr>
                    <w:rFonts w:ascii="MS Gothic" w:eastAsia="MS Gothic" w:hAnsi="MS Gothic" w:cs="Arial"/>
                    <w:szCs w:val="20"/>
                  </w:rPr>
                  <w:t>☐</w:t>
                </w:r>
              </w:p>
            </w:sdtContent>
          </w:sdt>
        </w:tc>
      </w:tr>
      <w:tr w:rsidR="00CE7E17" w:rsidRPr="00DF7172" w14:paraId="069A0CE7"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8776D6" w14:textId="77777777" w:rsidR="00CE7E17" w:rsidRDefault="00CE7E17" w:rsidP="00DF7172">
            <w:pPr>
              <w:jc w:val="both"/>
              <w:rPr>
                <w:color w:val="005F9A"/>
                <w:szCs w:val="20"/>
                <w:lang w:val="es-AR"/>
              </w:rPr>
            </w:pPr>
            <w:r>
              <w:rPr>
                <w:color w:val="005F9A"/>
                <w:lang w:val="es-AR"/>
              </w:rPr>
              <w:t>Evidencia para este criterio de evaluación:</w:t>
            </w:r>
          </w:p>
          <w:p w14:paraId="1BE6C8D6" w14:textId="77777777" w:rsidR="00CE7E17" w:rsidRPr="00C36134" w:rsidRDefault="00CE7E17" w:rsidP="00DF7172">
            <w:pPr>
              <w:jc w:val="both"/>
              <w:rPr>
                <w:color w:val="0000FF"/>
                <w:szCs w:val="20"/>
                <w:lang w:val="es-AR"/>
              </w:rPr>
            </w:pPr>
          </w:p>
          <w:p w14:paraId="2545ECCC" w14:textId="77777777" w:rsidR="00CE7E17" w:rsidRPr="00656F7F" w:rsidRDefault="00CE7E17" w:rsidP="00DF7172">
            <w:pPr>
              <w:jc w:val="both"/>
              <w:rPr>
                <w:color w:val="0000FF"/>
                <w:szCs w:val="20"/>
                <w:lang w:val="es-AR"/>
              </w:rPr>
            </w:pPr>
          </w:p>
        </w:tc>
      </w:tr>
    </w:tbl>
    <w:p w14:paraId="2E7BA6AB" w14:textId="6E001712" w:rsidR="008B5588" w:rsidRPr="00656F7F" w:rsidRDefault="00CE4737" w:rsidP="00DF7172">
      <w:pPr>
        <w:pStyle w:val="Heading4"/>
        <w:jc w:val="both"/>
        <w:rPr>
          <w:lang w:val="es-AR"/>
        </w:rPr>
      </w:pPr>
      <w:bookmarkStart w:id="4" w:name="_heading=h.a0gf1y2pg08r"/>
      <w:bookmarkEnd w:id="4"/>
      <w:r>
        <w:rPr>
          <w:lang w:val="es-AR"/>
        </w:rPr>
        <w:lastRenderedPageBreak/>
        <w:t xml:space="preserve">Criterio de evaluación </w:t>
      </w:r>
      <w:r w:rsidR="003920F0" w:rsidRPr="00656F7F">
        <w:rPr>
          <w:lang w:val="es-AR"/>
        </w:rPr>
        <w:t>4</w:t>
      </w:r>
      <w:r w:rsidR="00E400E7" w:rsidRPr="00656F7F">
        <w:rPr>
          <w:lang w:val="es-AR"/>
        </w:rPr>
        <w:t xml:space="preserve">: Interacción con los mecanismos de derechos humanos de la ONU </w:t>
      </w:r>
    </w:p>
    <w:p w14:paraId="58B5B2C1" w14:textId="5401E5F5" w:rsidR="008B5588" w:rsidRPr="00656F7F" w:rsidRDefault="00E400E7" w:rsidP="00DF7172">
      <w:pPr>
        <w:jc w:val="both"/>
        <w:rPr>
          <w:rFonts w:eastAsia="Arial" w:cs="Arial"/>
          <w:szCs w:val="20"/>
          <w:lang w:val="es-AR"/>
        </w:rPr>
      </w:pPr>
      <w:r w:rsidRPr="00656F7F">
        <w:rPr>
          <w:rFonts w:eastAsia="Arial" w:cs="Arial"/>
          <w:szCs w:val="20"/>
          <w:lang w:val="es-AR"/>
        </w:rPr>
        <w:t>El Parl</w:t>
      </w:r>
      <w:r w:rsidR="0082775D" w:rsidRPr="00656F7F">
        <w:rPr>
          <w:rFonts w:eastAsia="Arial" w:cs="Arial"/>
          <w:szCs w:val="20"/>
          <w:lang w:val="es-AR"/>
        </w:rPr>
        <w:t>ament</w:t>
      </w:r>
      <w:r w:rsidRPr="00656F7F">
        <w:rPr>
          <w:rFonts w:eastAsia="Arial" w:cs="Arial"/>
          <w:szCs w:val="20"/>
          <w:lang w:val="es-AR"/>
        </w:rPr>
        <w:t xml:space="preserve">o tiene un rol claro en las diferentes etapas de los procedimientos de informes al Consejo de Derechos Humanos de la ONU en el marco de su revisión periódica universal y ante los órganos de los tratados de derechos humanos de la ONU. Contribuye a la preparación y presentación de los informes nacionales y a la implementación de las recomendaciones de los mismos. </w:t>
      </w:r>
      <w:r w:rsidR="0082775D" w:rsidRPr="00656F7F">
        <w:rPr>
          <w:rFonts w:eastAsia="Arial" w:cs="Arial"/>
          <w:szCs w:val="20"/>
          <w:lang w:val="es-AR"/>
        </w:rPr>
        <w:t xml:space="preserve"> </w:t>
      </w:r>
    </w:p>
    <w:p w14:paraId="4D977EA3" w14:textId="77777777" w:rsidR="008B5588" w:rsidRPr="00656F7F" w:rsidRDefault="008B5588" w:rsidP="00DF7172">
      <w:pPr>
        <w:jc w:val="both"/>
        <w:rPr>
          <w:rFonts w:eastAsia="Arial" w:cs="Arial"/>
          <w:szCs w:val="20"/>
          <w:lang w:val="es-AR"/>
        </w:rPr>
      </w:pPr>
    </w:p>
    <w:tbl>
      <w:tblPr>
        <w:tblW w:w="4988" w:type="pct"/>
        <w:tblInd w:w="10" w:type="dxa"/>
        <w:tblLook w:val="0400" w:firstRow="0" w:lastRow="0" w:firstColumn="0" w:lastColumn="0" w:noHBand="0" w:noVBand="1"/>
      </w:tblPr>
      <w:tblGrid>
        <w:gridCol w:w="1460"/>
        <w:gridCol w:w="1459"/>
        <w:gridCol w:w="1459"/>
        <w:gridCol w:w="1459"/>
        <w:gridCol w:w="1459"/>
        <w:gridCol w:w="1463"/>
      </w:tblGrid>
      <w:tr w:rsidR="00CE7E17" w:rsidRPr="004D0354" w14:paraId="72A757E9"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A305C0" w14:textId="77777777" w:rsidR="00CE7E17" w:rsidRDefault="00CE7E17" w:rsidP="00DF7172">
            <w:pPr>
              <w:jc w:val="both"/>
              <w:rPr>
                <w:szCs w:val="20"/>
              </w:rPr>
            </w:pPr>
            <w:r>
              <w:t>Inexistente</w:t>
            </w:r>
          </w:p>
          <w:sdt>
            <w:sdtPr>
              <w:rPr>
                <w:rFonts w:eastAsia="Arimo"/>
                <w:szCs w:val="20"/>
              </w:rPr>
              <w:id w:val="-1268391386"/>
              <w14:checkbox>
                <w14:checked w14:val="0"/>
                <w14:checkedState w14:val="2612" w14:font="MS Gothic"/>
                <w14:uncheckedState w14:val="2610" w14:font="MS Gothic"/>
              </w14:checkbox>
            </w:sdtPr>
            <w:sdtEndPr/>
            <w:sdtContent>
              <w:p w14:paraId="2E375176" w14:textId="5D207263"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AF5BCF" w14:textId="77777777" w:rsidR="00CE7E17" w:rsidRDefault="00CE7E17" w:rsidP="00DF7172">
            <w:pPr>
              <w:jc w:val="both"/>
              <w:rPr>
                <w:szCs w:val="20"/>
              </w:rPr>
            </w:pPr>
            <w:r>
              <w:t>Rudimentario</w:t>
            </w:r>
          </w:p>
          <w:sdt>
            <w:sdtPr>
              <w:rPr>
                <w:rFonts w:eastAsia="Arimo"/>
                <w:szCs w:val="20"/>
              </w:rPr>
              <w:id w:val="1206757130"/>
              <w14:checkbox>
                <w14:checked w14:val="0"/>
                <w14:checkedState w14:val="2612" w14:font="MS Gothic"/>
                <w14:uncheckedState w14:val="2610" w14:font="MS Gothic"/>
              </w14:checkbox>
            </w:sdtPr>
            <w:sdtEndPr/>
            <w:sdtContent>
              <w:p w14:paraId="0AC80828" w14:textId="2F61EB6B"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4B5A8E" w14:textId="77777777" w:rsidR="00CE7E17" w:rsidRDefault="00CE7E17" w:rsidP="00DF7172">
            <w:pPr>
              <w:jc w:val="both"/>
              <w:rPr>
                <w:szCs w:val="20"/>
              </w:rPr>
            </w:pPr>
            <w:r>
              <w:t>Básico</w:t>
            </w:r>
          </w:p>
          <w:sdt>
            <w:sdtPr>
              <w:rPr>
                <w:rFonts w:eastAsia="Arimo"/>
                <w:szCs w:val="20"/>
              </w:rPr>
              <w:id w:val="-2036793174"/>
              <w14:checkbox>
                <w14:checked w14:val="0"/>
                <w14:checkedState w14:val="2612" w14:font="MS Gothic"/>
                <w14:uncheckedState w14:val="2610" w14:font="MS Gothic"/>
              </w14:checkbox>
            </w:sdtPr>
            <w:sdtEndPr/>
            <w:sdtContent>
              <w:p w14:paraId="546DCE12" w14:textId="7BDDBAB2"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4A5868A" w14:textId="77777777" w:rsidR="00CE7E17" w:rsidRDefault="00CE7E17" w:rsidP="00DF7172">
            <w:pPr>
              <w:jc w:val="both"/>
              <w:rPr>
                <w:szCs w:val="20"/>
              </w:rPr>
            </w:pPr>
            <w:r>
              <w:t>Bueno</w:t>
            </w:r>
          </w:p>
          <w:sdt>
            <w:sdtPr>
              <w:rPr>
                <w:rFonts w:eastAsia="Arimo"/>
                <w:szCs w:val="20"/>
              </w:rPr>
              <w:id w:val="-1158299758"/>
              <w14:checkbox>
                <w14:checked w14:val="0"/>
                <w14:checkedState w14:val="2612" w14:font="MS Gothic"/>
                <w14:uncheckedState w14:val="2610" w14:font="MS Gothic"/>
              </w14:checkbox>
            </w:sdtPr>
            <w:sdtEndPr/>
            <w:sdtContent>
              <w:p w14:paraId="4C26714A" w14:textId="2D2721D1"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407DC9" w14:textId="77777777" w:rsidR="00CE7E17" w:rsidRDefault="00CE7E17" w:rsidP="00DF7172">
            <w:pPr>
              <w:jc w:val="both"/>
              <w:rPr>
                <w:szCs w:val="20"/>
              </w:rPr>
            </w:pPr>
            <w:r>
              <w:t>Muy bueno</w:t>
            </w:r>
          </w:p>
          <w:sdt>
            <w:sdtPr>
              <w:rPr>
                <w:rFonts w:eastAsia="Arimo"/>
                <w:szCs w:val="20"/>
              </w:rPr>
              <w:id w:val="1075311347"/>
              <w14:checkbox>
                <w14:checked w14:val="0"/>
                <w14:checkedState w14:val="2612" w14:font="MS Gothic"/>
                <w14:uncheckedState w14:val="2610" w14:font="MS Gothic"/>
              </w14:checkbox>
            </w:sdtPr>
            <w:sdtEndPr/>
            <w:sdtContent>
              <w:p w14:paraId="7AF9B52B" w14:textId="0B268AEC" w:rsidR="00CE7E17" w:rsidRPr="004D0354" w:rsidRDefault="00CE7E17"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B185A90"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318032923"/>
              <w14:checkbox>
                <w14:checked w14:val="0"/>
                <w14:checkedState w14:val="2612" w14:font="MS Gothic"/>
                <w14:uncheckedState w14:val="2610" w14:font="MS Gothic"/>
              </w14:checkbox>
            </w:sdtPr>
            <w:sdtEndPr/>
            <w:sdtContent>
              <w:p w14:paraId="480E9643" w14:textId="00571DE8" w:rsidR="00CE7E17" w:rsidRPr="004D0354" w:rsidRDefault="00CE7E17" w:rsidP="00DF7172">
                <w:pPr>
                  <w:jc w:val="both"/>
                  <w:rPr>
                    <w:szCs w:val="20"/>
                  </w:rPr>
                </w:pPr>
                <w:r w:rsidRPr="004D0354">
                  <w:rPr>
                    <w:rFonts w:ascii="MS Gothic" w:eastAsia="MS Gothic" w:hAnsi="MS Gothic" w:cs="Arial"/>
                    <w:szCs w:val="20"/>
                  </w:rPr>
                  <w:t>☐</w:t>
                </w:r>
              </w:p>
            </w:sdtContent>
          </w:sdt>
        </w:tc>
      </w:tr>
      <w:tr w:rsidR="00CE7E17" w:rsidRPr="00DF7172" w14:paraId="226F2098"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30DB9" w14:textId="77777777" w:rsidR="00CE7E17" w:rsidRDefault="00CE7E17" w:rsidP="00DF7172">
            <w:pPr>
              <w:jc w:val="both"/>
              <w:rPr>
                <w:color w:val="005F9A"/>
                <w:szCs w:val="20"/>
                <w:lang w:val="es-AR"/>
              </w:rPr>
            </w:pPr>
            <w:r>
              <w:rPr>
                <w:color w:val="005F9A"/>
                <w:lang w:val="es-AR"/>
              </w:rPr>
              <w:t>Evidencia para este criterio de evaluación:</w:t>
            </w:r>
          </w:p>
          <w:p w14:paraId="40D22DC7" w14:textId="77777777" w:rsidR="00CE7E17" w:rsidRPr="00C36134" w:rsidRDefault="00CE7E17" w:rsidP="00DF7172">
            <w:pPr>
              <w:jc w:val="both"/>
              <w:rPr>
                <w:color w:val="0000FF"/>
                <w:szCs w:val="20"/>
                <w:lang w:val="es-AR"/>
              </w:rPr>
            </w:pPr>
          </w:p>
          <w:p w14:paraId="283C0A98" w14:textId="77777777" w:rsidR="00CE7E17" w:rsidRPr="00656F7F" w:rsidRDefault="00CE7E17" w:rsidP="00DF7172">
            <w:pPr>
              <w:jc w:val="both"/>
              <w:rPr>
                <w:color w:val="0000FF"/>
                <w:szCs w:val="20"/>
                <w:lang w:val="es-AR"/>
              </w:rPr>
            </w:pPr>
          </w:p>
        </w:tc>
      </w:tr>
    </w:tbl>
    <w:p w14:paraId="63AAB3AC" w14:textId="1CA8A926" w:rsidR="003920F0" w:rsidRPr="00656F7F" w:rsidRDefault="00CE4737" w:rsidP="00DF7172">
      <w:pPr>
        <w:pStyle w:val="Heading4"/>
        <w:jc w:val="both"/>
        <w:rPr>
          <w:lang w:val="es-AR"/>
        </w:rPr>
      </w:pPr>
      <w:r>
        <w:rPr>
          <w:lang w:val="es-AR"/>
        </w:rPr>
        <w:t xml:space="preserve">Criterio de evaluación </w:t>
      </w:r>
      <w:r w:rsidR="00E400E7" w:rsidRPr="00656F7F">
        <w:rPr>
          <w:lang w:val="es-AR"/>
        </w:rPr>
        <w:t>5: Práctica</w:t>
      </w:r>
    </w:p>
    <w:p w14:paraId="26BBC7FE" w14:textId="1DA7CE93" w:rsidR="003920F0" w:rsidRPr="00656F7F" w:rsidRDefault="00E400E7" w:rsidP="00DF7172">
      <w:pPr>
        <w:spacing w:after="120"/>
        <w:jc w:val="both"/>
        <w:rPr>
          <w:rFonts w:eastAsia="Arial" w:cs="Arial"/>
          <w:szCs w:val="20"/>
          <w:lang w:val="es-AR"/>
        </w:rPr>
      </w:pPr>
      <w:r w:rsidRPr="00656F7F">
        <w:rPr>
          <w:lang w:val="es-AR"/>
        </w:rPr>
        <w:t xml:space="preserve">En la práctica, los derechos humanos </w:t>
      </w:r>
      <w:r w:rsidR="00946B3F" w:rsidRPr="00656F7F">
        <w:rPr>
          <w:lang w:val="es-AR"/>
        </w:rPr>
        <w:t xml:space="preserve">se ven integrados en </w:t>
      </w:r>
      <w:r w:rsidRPr="00656F7F">
        <w:rPr>
          <w:lang w:val="es-AR"/>
        </w:rPr>
        <w:t xml:space="preserve">todo el trabajo parlamentario. </w:t>
      </w:r>
      <w:r w:rsidR="00306087">
        <w:rPr>
          <w:lang w:val="es-AR"/>
        </w:rPr>
        <w:t xml:space="preserve">              </w:t>
      </w:r>
      <w:r w:rsidRPr="00656F7F">
        <w:rPr>
          <w:lang w:val="es-AR"/>
        </w:rPr>
        <w:t>El Parlamento interactúa regularmente con las instituciones nacionales de derechos humanos, las organizaciones de la sociedad civil y los mecanismos de derechos humanos de Naciones Unidas.</w:t>
      </w:r>
    </w:p>
    <w:tbl>
      <w:tblPr>
        <w:tblW w:w="4982" w:type="pct"/>
        <w:tblInd w:w="15" w:type="dxa"/>
        <w:tblLook w:val="0400" w:firstRow="0" w:lastRow="0" w:firstColumn="0" w:lastColumn="0" w:noHBand="0" w:noVBand="1"/>
      </w:tblPr>
      <w:tblGrid>
        <w:gridCol w:w="1458"/>
        <w:gridCol w:w="1458"/>
        <w:gridCol w:w="1457"/>
        <w:gridCol w:w="1457"/>
        <w:gridCol w:w="1457"/>
        <w:gridCol w:w="1461"/>
      </w:tblGrid>
      <w:tr w:rsidR="00CE7E17" w:rsidRPr="004D0354" w14:paraId="2FF5DA36" w14:textId="77777777" w:rsidTr="00773480">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F6241E" w14:textId="77777777" w:rsidR="00CE7E17" w:rsidRDefault="00CE7E17" w:rsidP="00DF7172">
            <w:pPr>
              <w:jc w:val="both"/>
              <w:rPr>
                <w:szCs w:val="20"/>
              </w:rPr>
            </w:pPr>
            <w:r>
              <w:t>Inexistente</w:t>
            </w:r>
          </w:p>
          <w:sdt>
            <w:sdtPr>
              <w:rPr>
                <w:rFonts w:eastAsia="Arimo"/>
                <w:szCs w:val="20"/>
              </w:rPr>
              <w:id w:val="141466744"/>
              <w14:checkbox>
                <w14:checked w14:val="0"/>
                <w14:checkedState w14:val="2612" w14:font="MS Gothic"/>
                <w14:uncheckedState w14:val="2610" w14:font="MS Gothic"/>
              </w14:checkbox>
            </w:sdtPr>
            <w:sdtEndPr/>
            <w:sdtContent>
              <w:p w14:paraId="1DF1F0A1" w14:textId="69D488C2"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C72961" w14:textId="77777777" w:rsidR="00CE7E17" w:rsidRDefault="00CE7E17" w:rsidP="00DF7172">
            <w:pPr>
              <w:jc w:val="both"/>
              <w:rPr>
                <w:szCs w:val="20"/>
              </w:rPr>
            </w:pPr>
            <w:r>
              <w:t>Rudimentario</w:t>
            </w:r>
          </w:p>
          <w:sdt>
            <w:sdtPr>
              <w:rPr>
                <w:rFonts w:eastAsia="Arimo"/>
                <w:szCs w:val="20"/>
              </w:rPr>
              <w:id w:val="238212849"/>
              <w14:checkbox>
                <w14:checked w14:val="0"/>
                <w14:checkedState w14:val="2612" w14:font="MS Gothic"/>
                <w14:uncheckedState w14:val="2610" w14:font="MS Gothic"/>
              </w14:checkbox>
            </w:sdtPr>
            <w:sdtEndPr/>
            <w:sdtContent>
              <w:p w14:paraId="238AC40E" w14:textId="298B2F21"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BB2AFE" w14:textId="77777777" w:rsidR="00CE7E17" w:rsidRDefault="00CE7E17" w:rsidP="00DF7172">
            <w:pPr>
              <w:jc w:val="both"/>
              <w:rPr>
                <w:szCs w:val="20"/>
              </w:rPr>
            </w:pPr>
            <w:r>
              <w:t>Básico</w:t>
            </w:r>
          </w:p>
          <w:sdt>
            <w:sdtPr>
              <w:rPr>
                <w:rFonts w:eastAsia="Arimo"/>
                <w:szCs w:val="20"/>
              </w:rPr>
              <w:id w:val="1227725550"/>
              <w14:checkbox>
                <w14:checked w14:val="0"/>
                <w14:checkedState w14:val="2612" w14:font="MS Gothic"/>
                <w14:uncheckedState w14:val="2610" w14:font="MS Gothic"/>
              </w14:checkbox>
            </w:sdtPr>
            <w:sdtEndPr/>
            <w:sdtContent>
              <w:p w14:paraId="3B2A06B0" w14:textId="046CF079" w:rsidR="00CE7E17" w:rsidRPr="004D0354" w:rsidRDefault="00CE7E17" w:rsidP="00DF7172">
                <w:pPr>
                  <w:jc w:val="both"/>
                  <w:rPr>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CF6EAC" w14:textId="77777777" w:rsidR="00CE7E17" w:rsidRDefault="00CE7E17" w:rsidP="00DF7172">
            <w:pPr>
              <w:jc w:val="both"/>
              <w:rPr>
                <w:szCs w:val="20"/>
              </w:rPr>
            </w:pPr>
            <w:r>
              <w:t>Bueno</w:t>
            </w:r>
          </w:p>
          <w:sdt>
            <w:sdtPr>
              <w:rPr>
                <w:rFonts w:eastAsia="Arimo"/>
                <w:szCs w:val="20"/>
              </w:rPr>
              <w:id w:val="-329140452"/>
              <w14:checkbox>
                <w14:checked w14:val="0"/>
                <w14:checkedState w14:val="2612" w14:font="MS Gothic"/>
                <w14:uncheckedState w14:val="2610" w14:font="MS Gothic"/>
              </w14:checkbox>
            </w:sdtPr>
            <w:sdtEndPr/>
            <w:sdtContent>
              <w:p w14:paraId="3F418F7C" w14:textId="30D57B0D" w:rsidR="00CE7E17" w:rsidRPr="004D0354" w:rsidRDefault="00CE7E17" w:rsidP="00DF7172">
                <w:pPr>
                  <w:jc w:val="both"/>
                  <w:rPr>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515657" w14:textId="77777777" w:rsidR="00CE7E17" w:rsidRDefault="00CE7E17" w:rsidP="00DF7172">
            <w:pPr>
              <w:jc w:val="both"/>
              <w:rPr>
                <w:szCs w:val="20"/>
              </w:rPr>
            </w:pPr>
            <w:r>
              <w:t>Muy bueno</w:t>
            </w:r>
          </w:p>
          <w:sdt>
            <w:sdtPr>
              <w:rPr>
                <w:rFonts w:eastAsia="Arimo"/>
                <w:szCs w:val="20"/>
              </w:rPr>
              <w:id w:val="601531995"/>
              <w14:checkbox>
                <w14:checked w14:val="0"/>
                <w14:checkedState w14:val="2612" w14:font="MS Gothic"/>
                <w14:uncheckedState w14:val="2610" w14:font="MS Gothic"/>
              </w14:checkbox>
            </w:sdtPr>
            <w:sdtEndPr/>
            <w:sdtContent>
              <w:p w14:paraId="5EA179AD" w14:textId="436A3590" w:rsidR="00CE7E17" w:rsidRPr="004D0354" w:rsidRDefault="00CE7E17" w:rsidP="00DF7172">
                <w:pPr>
                  <w:jc w:val="both"/>
                  <w:rPr>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5C09916"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261097853"/>
              <w14:checkbox>
                <w14:checked w14:val="0"/>
                <w14:checkedState w14:val="2612" w14:font="MS Gothic"/>
                <w14:uncheckedState w14:val="2610" w14:font="MS Gothic"/>
              </w14:checkbox>
            </w:sdtPr>
            <w:sdtEndPr/>
            <w:sdtContent>
              <w:p w14:paraId="03BE209D" w14:textId="78BDDC52" w:rsidR="00CE7E17" w:rsidRPr="004D0354" w:rsidRDefault="00CE7E17" w:rsidP="00DF7172">
                <w:pPr>
                  <w:jc w:val="both"/>
                  <w:rPr>
                    <w:szCs w:val="20"/>
                  </w:rPr>
                </w:pPr>
                <w:r w:rsidRPr="004D0354">
                  <w:rPr>
                    <w:rFonts w:ascii="MS Gothic" w:eastAsia="MS Gothic" w:hAnsi="MS Gothic" w:cs="Arial"/>
                    <w:szCs w:val="20"/>
                  </w:rPr>
                  <w:t>☐</w:t>
                </w:r>
              </w:p>
            </w:sdtContent>
          </w:sdt>
        </w:tc>
      </w:tr>
      <w:tr w:rsidR="00CE7E17" w:rsidRPr="00DF7172" w14:paraId="72530B2B" w14:textId="77777777" w:rsidTr="00773480">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A3565" w14:textId="77777777" w:rsidR="00CE7E17" w:rsidRDefault="00CE7E17" w:rsidP="00DF7172">
            <w:pPr>
              <w:jc w:val="both"/>
              <w:rPr>
                <w:color w:val="005F9A"/>
                <w:szCs w:val="20"/>
                <w:lang w:val="es-AR"/>
              </w:rPr>
            </w:pPr>
            <w:r>
              <w:rPr>
                <w:color w:val="005F9A"/>
                <w:lang w:val="es-AR"/>
              </w:rPr>
              <w:t>Evidencia para este criterio de evaluación:</w:t>
            </w:r>
          </w:p>
          <w:p w14:paraId="509F240E" w14:textId="77777777" w:rsidR="00CE7E17" w:rsidRPr="00C36134" w:rsidRDefault="00CE7E17" w:rsidP="00DF7172">
            <w:pPr>
              <w:jc w:val="both"/>
              <w:rPr>
                <w:color w:val="0000FF"/>
                <w:szCs w:val="20"/>
                <w:lang w:val="es-AR"/>
              </w:rPr>
            </w:pPr>
          </w:p>
          <w:p w14:paraId="0978975A" w14:textId="77777777" w:rsidR="00CE7E17" w:rsidRPr="00656F7F" w:rsidRDefault="00CE7E17" w:rsidP="00DF7172">
            <w:pPr>
              <w:jc w:val="both"/>
              <w:rPr>
                <w:color w:val="0000FF"/>
                <w:szCs w:val="20"/>
                <w:lang w:val="es-AR"/>
              </w:rPr>
            </w:pPr>
          </w:p>
        </w:tc>
      </w:tr>
    </w:tbl>
    <w:p w14:paraId="3ADD8F4A" w14:textId="77777777" w:rsidR="00CE7E17" w:rsidRPr="00656F7F" w:rsidRDefault="00CE7E17" w:rsidP="00DF7172">
      <w:pPr>
        <w:pStyle w:val="section-title"/>
        <w:jc w:val="both"/>
      </w:pPr>
    </w:p>
    <w:p w14:paraId="1E9E42CE" w14:textId="77777777" w:rsidR="00CE4737" w:rsidRPr="00383F06" w:rsidRDefault="00CE4737"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8780"/>
      </w:tblGrid>
      <w:tr w:rsidR="007E5D1E" w:rsidRPr="00DF7172" w14:paraId="7EBA53BA" w14:textId="77777777" w:rsidTr="007E5D1E">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5E9EE29" w14:textId="77777777" w:rsidR="00EA4E25" w:rsidRDefault="00EA4E25"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7AF75D11" w14:textId="452C774F" w:rsidR="007E5D1E" w:rsidRPr="00656F7F" w:rsidRDefault="007E5D1E" w:rsidP="00DF7172">
            <w:pPr>
              <w:jc w:val="both"/>
              <w:rPr>
                <w:rFonts w:cs="Arial"/>
                <w:szCs w:val="20"/>
                <w:lang w:val="es-AR"/>
              </w:rPr>
            </w:pPr>
          </w:p>
        </w:tc>
      </w:tr>
    </w:tbl>
    <w:p w14:paraId="60CED350" w14:textId="77777777" w:rsidR="00CE7E17" w:rsidRPr="00656F7F" w:rsidRDefault="00CE7E17" w:rsidP="00DF7172">
      <w:pPr>
        <w:pStyle w:val="section-title"/>
        <w:jc w:val="both"/>
      </w:pPr>
      <w:bookmarkStart w:id="5" w:name="_heading=h.ef0fk8xus11h"/>
      <w:bookmarkEnd w:id="5"/>
    </w:p>
    <w:p w14:paraId="72FF6E13" w14:textId="3D1BA0EE" w:rsidR="008B5588" w:rsidRPr="004D0354" w:rsidRDefault="00CE4737" w:rsidP="00DF7172">
      <w:pPr>
        <w:pStyle w:val="section-title"/>
        <w:jc w:val="both"/>
        <w:rPr>
          <w:sz w:val="20"/>
        </w:rPr>
      </w:pPr>
      <w:r>
        <w:t>Fuentes y lecturas adicionales</w:t>
      </w:r>
    </w:p>
    <w:p w14:paraId="4C2EBB2C" w14:textId="050F0C32" w:rsidR="008B5588" w:rsidRPr="004D0354" w:rsidRDefault="008B5588" w:rsidP="00DF7172">
      <w:pPr>
        <w:numPr>
          <w:ilvl w:val="0"/>
          <w:numId w:val="36"/>
        </w:numPr>
        <w:tabs>
          <w:tab w:val="clear" w:pos="562"/>
        </w:tabs>
        <w:ind w:hanging="562"/>
        <w:jc w:val="both"/>
        <w:rPr>
          <w:rFonts w:eastAsia="Arial" w:cs="Arial"/>
          <w:color w:val="000000"/>
          <w:szCs w:val="20"/>
        </w:rPr>
      </w:pPr>
      <w:r w:rsidRPr="004D0354">
        <w:rPr>
          <w:color w:val="000000"/>
        </w:rPr>
        <w:t>Inter-Parliamentary Union (IPU) and Of</w:t>
      </w:r>
      <w:r w:rsidR="00CC1CDF">
        <w:rPr>
          <w:color w:val="000000"/>
        </w:rPr>
        <w:t xml:space="preserve">fice of the United Nations High </w:t>
      </w:r>
      <w:r w:rsidRPr="004D0354">
        <w:rPr>
          <w:color w:val="000000"/>
        </w:rPr>
        <w:t xml:space="preserve">Commissioner for Human Rights (OHCHR), </w:t>
      </w:r>
      <w:hyperlink r:id="rId12" w:history="1">
        <w:r w:rsidRPr="004D0354">
          <w:rPr>
            <w:rStyle w:val="Hyperlink"/>
            <w:i/>
            <w:color w:val="0563C1"/>
          </w:rPr>
          <w:t>Human Rights:</w:t>
        </w:r>
      </w:hyperlink>
      <w:hyperlink r:id="rId13" w:history="1">
        <w:r w:rsidRPr="004D0354">
          <w:rPr>
            <w:rStyle w:val="Hyperlink"/>
            <w:i/>
            <w:color w:val="0563C1"/>
          </w:rPr>
          <w:t xml:space="preserve"> Handbook for Parliamentarians No. 26</w:t>
        </w:r>
      </w:hyperlink>
      <w:r w:rsidR="00BC0DB0" w:rsidRPr="004D0354">
        <w:rPr>
          <w:color w:val="000000"/>
        </w:rPr>
        <w:t xml:space="preserve">, revised edition </w:t>
      </w:r>
      <w:r w:rsidRPr="004D0354">
        <w:rPr>
          <w:color w:val="000000"/>
        </w:rPr>
        <w:t>(2016).</w:t>
      </w:r>
    </w:p>
    <w:p w14:paraId="793DCB1B" w14:textId="6451799E" w:rsidR="00BC0DB0" w:rsidRPr="00CE7E17" w:rsidRDefault="00BC0DB0" w:rsidP="00DF7172">
      <w:pPr>
        <w:numPr>
          <w:ilvl w:val="0"/>
          <w:numId w:val="36"/>
        </w:numPr>
        <w:tabs>
          <w:tab w:val="clear" w:pos="562"/>
        </w:tabs>
        <w:ind w:hanging="562"/>
        <w:jc w:val="both"/>
        <w:rPr>
          <w:rFonts w:eastAsia="Arial" w:cs="Arial"/>
          <w:szCs w:val="20"/>
        </w:rPr>
      </w:pPr>
      <w:r w:rsidRPr="00CE7E17">
        <w:rPr>
          <w:rFonts w:eastAsia="Arial" w:cs="Arial"/>
          <w:szCs w:val="20"/>
        </w:rPr>
        <w:t xml:space="preserve">United Nations, </w:t>
      </w:r>
      <w:hyperlink r:id="rId14" w:history="1">
        <w:r w:rsidRPr="00CE7E17">
          <w:rPr>
            <w:rStyle w:val="Hyperlink"/>
            <w:i/>
            <w:iCs/>
            <w:szCs w:val="20"/>
          </w:rPr>
          <w:t>Universal Declaration of Human Rights</w:t>
        </w:r>
      </w:hyperlink>
      <w:r w:rsidRPr="00CE7E17">
        <w:rPr>
          <w:rFonts w:eastAsia="Arial" w:cs="Arial"/>
          <w:szCs w:val="20"/>
        </w:rPr>
        <w:t xml:space="preserve"> (1948).</w:t>
      </w:r>
    </w:p>
    <w:p w14:paraId="4A92F343" w14:textId="647271C4" w:rsidR="0032407C" w:rsidRPr="00CE7E17" w:rsidRDefault="0032407C" w:rsidP="00DF7172">
      <w:pPr>
        <w:numPr>
          <w:ilvl w:val="0"/>
          <w:numId w:val="36"/>
        </w:numPr>
        <w:tabs>
          <w:tab w:val="clear" w:pos="562"/>
        </w:tabs>
        <w:ind w:hanging="562"/>
        <w:jc w:val="both"/>
        <w:rPr>
          <w:rFonts w:eastAsia="Arial" w:cs="Arial"/>
          <w:szCs w:val="20"/>
        </w:rPr>
      </w:pPr>
      <w:r w:rsidRPr="00CE7E17">
        <w:rPr>
          <w:rFonts w:eastAsia="Arial" w:cs="Arial"/>
          <w:szCs w:val="20"/>
        </w:rPr>
        <w:t xml:space="preserve">United Nations, </w:t>
      </w:r>
      <w:hyperlink r:id="rId15" w:history="1">
        <w:r w:rsidRPr="00CE7E17">
          <w:rPr>
            <w:rStyle w:val="Hyperlink"/>
            <w:i/>
            <w:iCs/>
            <w:szCs w:val="20"/>
          </w:rPr>
          <w:t>International Covenant on Civil and Political Rights</w:t>
        </w:r>
      </w:hyperlink>
      <w:r w:rsidRPr="00CE7E17">
        <w:rPr>
          <w:rFonts w:eastAsia="Arial" w:cs="Arial"/>
          <w:i/>
          <w:iCs/>
          <w:szCs w:val="20"/>
        </w:rPr>
        <w:t xml:space="preserve"> </w:t>
      </w:r>
      <w:r w:rsidRPr="00CE7E17">
        <w:rPr>
          <w:rFonts w:eastAsia="Arial" w:cs="Arial"/>
          <w:szCs w:val="20"/>
        </w:rPr>
        <w:t>(1966).</w:t>
      </w:r>
    </w:p>
    <w:p w14:paraId="4FEEC707" w14:textId="0938DB9B" w:rsidR="0032407C" w:rsidRPr="00CE7E17" w:rsidRDefault="0032407C" w:rsidP="00DF7172">
      <w:pPr>
        <w:numPr>
          <w:ilvl w:val="0"/>
          <w:numId w:val="36"/>
        </w:numPr>
        <w:tabs>
          <w:tab w:val="clear" w:pos="562"/>
        </w:tabs>
        <w:ind w:hanging="562"/>
        <w:jc w:val="both"/>
        <w:rPr>
          <w:rFonts w:eastAsia="Arial" w:cs="Arial"/>
          <w:szCs w:val="20"/>
        </w:rPr>
      </w:pPr>
      <w:r w:rsidRPr="00CE7E17">
        <w:rPr>
          <w:rFonts w:eastAsia="Arial" w:cs="Arial"/>
          <w:szCs w:val="20"/>
        </w:rPr>
        <w:t xml:space="preserve">United Nations, </w:t>
      </w:r>
      <w:hyperlink r:id="rId16" w:history="1">
        <w:r w:rsidRPr="00CE7E17">
          <w:rPr>
            <w:rStyle w:val="Hyperlink"/>
            <w:i/>
            <w:iCs/>
            <w:szCs w:val="20"/>
          </w:rPr>
          <w:t>Belgrade principles on the relationship between national human rights institutions and parliaments</w:t>
        </w:r>
      </w:hyperlink>
      <w:r w:rsidRPr="00CE7E17">
        <w:rPr>
          <w:rFonts w:eastAsia="Arial" w:cs="Arial"/>
          <w:szCs w:val="20"/>
        </w:rPr>
        <w:t xml:space="preserve"> (2012).</w:t>
      </w:r>
    </w:p>
    <w:p w14:paraId="7AAB4B5B" w14:textId="1260DB43" w:rsidR="00702DDC" w:rsidRPr="004D0354" w:rsidRDefault="00702DDC" w:rsidP="00DF7172">
      <w:pPr>
        <w:numPr>
          <w:ilvl w:val="0"/>
          <w:numId w:val="36"/>
        </w:numPr>
        <w:tabs>
          <w:tab w:val="clear" w:pos="562"/>
        </w:tabs>
        <w:ind w:hanging="562"/>
        <w:jc w:val="both"/>
        <w:rPr>
          <w:rFonts w:eastAsia="Arial" w:cs="Arial"/>
          <w:szCs w:val="20"/>
        </w:rPr>
      </w:pPr>
      <w:r w:rsidRPr="004D0354">
        <w:rPr>
          <w:color w:val="000000"/>
        </w:rPr>
        <w:t xml:space="preserve">United Nations, </w:t>
      </w:r>
      <w:hyperlink r:id="rId17" w:history="1">
        <w:r w:rsidRPr="004D0354">
          <w:rPr>
            <w:rStyle w:val="Hyperlink"/>
            <w:i/>
            <w:color w:val="0563C1"/>
          </w:rPr>
          <w:t>Contribution of parliaments to the work of the Human Rights Council and its universal periodic review</w:t>
        </w:r>
      </w:hyperlink>
      <w:r w:rsidRPr="004D0354">
        <w:rPr>
          <w:i/>
          <w:color w:val="000000"/>
          <w:u w:val="single"/>
        </w:rPr>
        <w:t xml:space="preserve"> </w:t>
      </w:r>
      <w:r w:rsidRPr="004D0354">
        <w:rPr>
          <w:color w:val="000000"/>
        </w:rPr>
        <w:t>(2018).</w:t>
      </w:r>
    </w:p>
    <w:p w14:paraId="2C79F107" w14:textId="77777777" w:rsidR="008B5588" w:rsidRPr="004D0354" w:rsidRDefault="008B5588" w:rsidP="00DF7172">
      <w:pPr>
        <w:ind w:left="562" w:hanging="562"/>
        <w:jc w:val="both"/>
        <w:rPr>
          <w:rFonts w:eastAsia="Arial" w:cs="Arial"/>
          <w:szCs w:val="20"/>
        </w:rPr>
      </w:pPr>
    </w:p>
    <w:p w14:paraId="5D207315" w14:textId="77777777" w:rsidR="008B5588" w:rsidRPr="004D0354" w:rsidRDefault="008B5588" w:rsidP="00DF7172">
      <w:pPr>
        <w:spacing w:line="276" w:lineRule="auto"/>
        <w:jc w:val="both"/>
        <w:rPr>
          <w:rFonts w:eastAsia="Arial" w:cs="Arial"/>
          <w:szCs w:val="20"/>
        </w:rPr>
      </w:pPr>
    </w:p>
    <w:p w14:paraId="42945283" w14:textId="77777777" w:rsidR="008B5588" w:rsidRPr="004D0354" w:rsidRDefault="008B5588" w:rsidP="00DF7172">
      <w:pPr>
        <w:spacing w:line="276" w:lineRule="auto"/>
        <w:jc w:val="both"/>
        <w:rPr>
          <w:rFonts w:eastAsia="Arial" w:cs="Arial"/>
          <w:color w:val="000000"/>
          <w:szCs w:val="20"/>
        </w:rPr>
      </w:pPr>
    </w:p>
    <w:p w14:paraId="60BB1D8A" w14:textId="7E84F889" w:rsidR="00295648" w:rsidRPr="004D0354" w:rsidRDefault="00CE4737" w:rsidP="00DF7172">
      <w:pPr>
        <w:pStyle w:val="Dimension"/>
      </w:pPr>
      <w:r>
        <w:lastRenderedPageBreak/>
        <w:t>Dimensió</w:t>
      </w:r>
      <w:r w:rsidR="008B5588" w:rsidRPr="004D0354">
        <w:t xml:space="preserve">n 5.1.2: </w:t>
      </w:r>
      <w:r>
        <w:t>Evaluaciones de impacto</w:t>
      </w:r>
    </w:p>
    <w:tbl>
      <w:tblPr>
        <w:tblStyle w:val="TableGrid"/>
        <w:tblW w:w="0" w:type="auto"/>
        <w:shd w:val="clear" w:color="auto" w:fill="EEEEEE"/>
        <w:tblLook w:val="04A0" w:firstRow="1" w:lastRow="0" w:firstColumn="1" w:lastColumn="0" w:noHBand="0" w:noVBand="1"/>
      </w:tblPr>
      <w:tblGrid>
        <w:gridCol w:w="8780"/>
      </w:tblGrid>
      <w:tr w:rsidR="00D90297" w:rsidRPr="004D0354" w14:paraId="7323DB62" w14:textId="77777777" w:rsidTr="00D90297">
        <w:tc>
          <w:tcPr>
            <w:tcW w:w="9350" w:type="dxa"/>
            <w:shd w:val="clear" w:color="auto" w:fill="EEEEEE"/>
          </w:tcPr>
          <w:p w14:paraId="2210A24D" w14:textId="77777777" w:rsidR="00CE4737" w:rsidRPr="00656F7F" w:rsidRDefault="00CE4737" w:rsidP="00DF7172">
            <w:pPr>
              <w:jc w:val="both"/>
              <w:rPr>
                <w:rFonts w:eastAsia="Arial" w:cs="Arial"/>
                <w:szCs w:val="20"/>
                <w:lang w:val="es-AR"/>
              </w:rPr>
            </w:pPr>
            <w:r w:rsidRPr="00656F7F">
              <w:rPr>
                <w:lang w:val="es-AR"/>
              </w:rPr>
              <w:t>Esta dimensión es parte de:</w:t>
            </w:r>
          </w:p>
          <w:p w14:paraId="732F2814" w14:textId="4DDFF865" w:rsidR="00CE4737" w:rsidRPr="00656F7F" w:rsidRDefault="00CE4737" w:rsidP="00DF7172">
            <w:pPr>
              <w:pStyle w:val="ListParagraph"/>
              <w:jc w:val="both"/>
              <w:rPr>
                <w:lang w:val="es-AR"/>
              </w:rPr>
            </w:pPr>
            <w:r w:rsidRPr="00656F7F">
              <w:rPr>
                <w:lang w:val="es-AR"/>
              </w:rPr>
              <w:t xml:space="preserve">Indicador 5.1: Elaboración de leyes, </w:t>
            </w:r>
            <w:r w:rsidR="00656F7F" w:rsidRPr="00656F7F">
              <w:rPr>
                <w:lang w:val="es-AR"/>
              </w:rPr>
              <w:t>supervisión</w:t>
            </w:r>
            <w:r w:rsidRPr="00656F7F">
              <w:rPr>
                <w:lang w:val="es-AR"/>
              </w:rPr>
              <w:t xml:space="preserve"> y diseño presupuestario inclusivos</w:t>
            </w:r>
          </w:p>
          <w:p w14:paraId="1D4B7713" w14:textId="66A4EAB3" w:rsidR="00D90297" w:rsidRPr="004D0354" w:rsidRDefault="00CE4737" w:rsidP="00DF7172">
            <w:pPr>
              <w:pStyle w:val="ListParagraph"/>
              <w:jc w:val="both"/>
              <w:rPr>
                <w:sz w:val="24"/>
                <w:szCs w:val="20"/>
              </w:rPr>
            </w:pPr>
            <w:r>
              <w:t xml:space="preserve">Meta 5: </w:t>
            </w:r>
            <w:r w:rsidR="00DF7172">
              <w:t>Parlamentos i</w:t>
            </w:r>
            <w:r w:rsidR="00DF7172" w:rsidRPr="004D0354">
              <w:t>nclusiv</w:t>
            </w:r>
            <w:r w:rsidR="00DF7172">
              <w:t>os</w:t>
            </w:r>
          </w:p>
        </w:tc>
      </w:tr>
    </w:tbl>
    <w:p w14:paraId="7BCDCF1E" w14:textId="77777777" w:rsidR="00580D1B" w:rsidRPr="001335DD" w:rsidRDefault="00580D1B" w:rsidP="00DF7172">
      <w:pPr>
        <w:pStyle w:val="section-title"/>
        <w:jc w:val="both"/>
      </w:pPr>
      <w:r>
        <w:t>Acerca de esta dimensión</w:t>
      </w:r>
    </w:p>
    <w:p w14:paraId="23DAF433" w14:textId="766A89B7" w:rsidR="00F23CF1" w:rsidRPr="00DF7172" w:rsidRDefault="00656F7F" w:rsidP="00DF7172">
      <w:pPr>
        <w:jc w:val="both"/>
        <w:rPr>
          <w:lang w:val="es-US"/>
        </w:rPr>
      </w:pPr>
      <w:r w:rsidRPr="00DF7172">
        <w:rPr>
          <w:lang w:val="es-US"/>
        </w:rPr>
        <w:t xml:space="preserve">Esta dimensión refiere a las prácticas del Parlamento relacionadas con las evaluaciones de impacto, que son procesos para identificar futuras consecuencias de una acción actual o propuesta. </w:t>
      </w:r>
      <w:r w:rsidRPr="00656F7F">
        <w:rPr>
          <w:lang w:val="es-AR"/>
        </w:rPr>
        <w:t>Las evaluaciones de impacto son un elemento importante a la hora de tener un proceso legislative basado en evidencia, al proveer un análisis crítico y sistem</w:t>
      </w:r>
      <w:r>
        <w:rPr>
          <w:lang w:val="es-AR"/>
        </w:rPr>
        <w:t xml:space="preserve">ático de los efectos positivos y negativos de las distintas propuestas de ley. </w:t>
      </w:r>
    </w:p>
    <w:p w14:paraId="0820815E" w14:textId="77777777" w:rsidR="00F23CF1" w:rsidRPr="00DF7172" w:rsidRDefault="00F23CF1" w:rsidP="00DF7172">
      <w:pPr>
        <w:jc w:val="both"/>
        <w:rPr>
          <w:lang w:val="es-US"/>
        </w:rPr>
      </w:pPr>
    </w:p>
    <w:p w14:paraId="43D16D15" w14:textId="1C997BAF" w:rsidR="009B5F4D" w:rsidRPr="00DF7172" w:rsidRDefault="00656F7F" w:rsidP="00DF7172">
      <w:pPr>
        <w:jc w:val="both"/>
        <w:rPr>
          <w:lang w:val="es-US"/>
        </w:rPr>
      </w:pPr>
      <w:r w:rsidRPr="00DF7172">
        <w:rPr>
          <w:lang w:val="es-US"/>
        </w:rPr>
        <w:t xml:space="preserve">Las evaluaciones de impacto pueden ser amplias e identificar las consecuencias de una ley o política desde una perspectiva económica, social, ambiental, climática u otras, o bien pueden ser específicas y centrarse en el impacto en grupos puntuales como las mujeres, los jóvenes, las personas con discapacidades y grupos vulnerables y marginados. </w:t>
      </w:r>
    </w:p>
    <w:p w14:paraId="1AFA97AF" w14:textId="77777777" w:rsidR="00295648" w:rsidRPr="00DF7172" w:rsidRDefault="00295648" w:rsidP="00DF7172">
      <w:pPr>
        <w:jc w:val="both"/>
        <w:rPr>
          <w:lang w:val="es-US"/>
        </w:rPr>
      </w:pPr>
    </w:p>
    <w:p w14:paraId="78271E24" w14:textId="0CBF9C4A" w:rsidR="002D4DF4" w:rsidRPr="00185D98" w:rsidRDefault="00656F7F" w:rsidP="00DF7172">
      <w:pPr>
        <w:jc w:val="both"/>
        <w:rPr>
          <w:lang w:val="es-AR"/>
        </w:rPr>
      </w:pPr>
      <w:r w:rsidRPr="00185D98">
        <w:rPr>
          <w:lang w:val="es-AR"/>
        </w:rPr>
        <w:t xml:space="preserve">El Parlamento puede ordenar al Ejecutivo que acompañe las propuestas de leyes con evaluaciones del impacto de las mismas. </w:t>
      </w:r>
      <w:r w:rsidRPr="00656F7F">
        <w:rPr>
          <w:lang w:val="es-AR"/>
        </w:rPr>
        <w:t xml:space="preserve">Algunos parlamentos también realizan o encargan sus propias evaluaciones de impacto. </w:t>
      </w:r>
      <w:r w:rsidRPr="00185D98">
        <w:rPr>
          <w:lang w:val="es-AR"/>
        </w:rPr>
        <w:t>Los hallazgos de estas evaluaciones de impacto deben estar disponibles públicamente y ser considerados por el Parlamento durante el proceso legislativo.</w:t>
      </w:r>
    </w:p>
    <w:p w14:paraId="77325676" w14:textId="77777777" w:rsidR="002D4DF4" w:rsidRPr="00185D98" w:rsidRDefault="002D4DF4" w:rsidP="00DF7172">
      <w:pPr>
        <w:jc w:val="both"/>
        <w:rPr>
          <w:lang w:val="es-AR"/>
        </w:rPr>
      </w:pPr>
    </w:p>
    <w:p w14:paraId="1A99D610" w14:textId="78C17565" w:rsidR="00295648" w:rsidRPr="00185D98" w:rsidRDefault="00656F7F" w:rsidP="00DF7172">
      <w:pPr>
        <w:jc w:val="both"/>
        <w:rPr>
          <w:lang w:val="es-AR"/>
        </w:rPr>
      </w:pPr>
      <w:r w:rsidRPr="00185D98">
        <w:rPr>
          <w:lang w:val="es-AR"/>
        </w:rPr>
        <w:t>Dado que las evaluaciones de impacto requieren una expertise que generalmente no forma parte de la formación legal, suelen ser realizadas por personal administrativo, organismos asesores parlamentarios o expertos externos. En cualquier caso, las evaluaciones de impacto deben ser un proceso inclusivo y transparente.</w:t>
      </w:r>
      <w:r w:rsidR="00295648" w:rsidRPr="00185D98">
        <w:rPr>
          <w:lang w:val="es-AR"/>
        </w:rPr>
        <w:t xml:space="preserve"> </w:t>
      </w:r>
    </w:p>
    <w:p w14:paraId="659F627C" w14:textId="77777777" w:rsidR="00CE4737" w:rsidRDefault="00CE4737" w:rsidP="00DF7172">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8780"/>
      </w:tblGrid>
      <w:tr w:rsidR="00295648" w:rsidRPr="003F33A4" w14:paraId="376A8BFE" w14:textId="77777777" w:rsidTr="00D90297">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52C948C" w14:textId="5D1E25D4" w:rsidR="00295648" w:rsidRPr="00656F7F" w:rsidRDefault="00EA4E25" w:rsidP="00DF7172">
            <w:pPr>
              <w:spacing w:before="120" w:after="60"/>
              <w:jc w:val="both"/>
              <w:rPr>
                <w:rFonts w:eastAsia="Arial" w:cs="Arial"/>
                <w:i/>
                <w:szCs w:val="20"/>
                <w:lang w:val="es-AR"/>
              </w:rPr>
            </w:pPr>
            <w:r>
              <w:rPr>
                <w:i/>
                <w:lang w:val="es-AR"/>
              </w:rPr>
              <w:t xml:space="preserve">Basado en un análisis comparativo mundial, un objetivo al que aspiran los parlamentos en el ámbito de las </w:t>
            </w:r>
            <w:r w:rsidR="0055364C" w:rsidRPr="00656F7F">
              <w:rPr>
                <w:i/>
                <w:lang w:val="es-AR"/>
              </w:rPr>
              <w:t>“</w:t>
            </w:r>
            <w:r w:rsidRPr="00656F7F">
              <w:rPr>
                <w:i/>
                <w:lang w:val="es-AR"/>
              </w:rPr>
              <w:t>evaluaciones de impacto” es el siguiente:</w:t>
            </w:r>
          </w:p>
          <w:p w14:paraId="3F06E70B" w14:textId="13E7DEA4" w:rsidR="00294B27" w:rsidRPr="003F42D4" w:rsidRDefault="00307DD4" w:rsidP="00DF7172">
            <w:pPr>
              <w:spacing w:after="120"/>
              <w:jc w:val="both"/>
              <w:rPr>
                <w:lang w:val="es-AR"/>
              </w:rPr>
            </w:pPr>
            <w:r w:rsidRPr="003F42D4">
              <w:rPr>
                <w:lang w:val="es-AR"/>
              </w:rPr>
              <w:t xml:space="preserve">Las evaluaciones de impacto sobre los efectos positivos y negativos de las propuestas de leyes </w:t>
            </w:r>
            <w:r w:rsidR="003F42D4" w:rsidRPr="003F42D4">
              <w:rPr>
                <w:lang w:val="es-AR"/>
              </w:rPr>
              <w:t xml:space="preserve">sobre </w:t>
            </w:r>
            <w:r w:rsidRPr="003F42D4">
              <w:rPr>
                <w:lang w:val="es-AR"/>
              </w:rPr>
              <w:t>diferentes grupos sociales son parte establecida del proceso legislativo.</w:t>
            </w:r>
            <w:r w:rsidR="00294B27" w:rsidRPr="003F42D4">
              <w:rPr>
                <w:lang w:val="es-AR"/>
              </w:rPr>
              <w:t xml:space="preserve"> </w:t>
            </w:r>
          </w:p>
          <w:p w14:paraId="2ECD34AD" w14:textId="728C35CF" w:rsidR="00294B27" w:rsidRPr="00DF7172" w:rsidRDefault="00307DD4" w:rsidP="00DF7172">
            <w:pPr>
              <w:spacing w:after="120"/>
              <w:jc w:val="both"/>
              <w:rPr>
                <w:lang w:val="es-US"/>
              </w:rPr>
            </w:pPr>
            <w:r w:rsidRPr="00DF7172">
              <w:rPr>
                <w:lang w:val="es-US"/>
              </w:rPr>
              <w:t>El Parlamento cuenta con la expertise necesaria, ya sea entre el personal parlamentario, los organismos asesores o expertos externos, para analizar los informes de evaluaciones de impacto o para llevar a cabo o encargar sus propias evaluaciones de impacto.</w:t>
            </w:r>
          </w:p>
          <w:p w14:paraId="1E7CDE58" w14:textId="7DBF1DB7" w:rsidR="00295648" w:rsidRPr="00307DD4" w:rsidRDefault="00307DD4" w:rsidP="00DF7172">
            <w:pPr>
              <w:spacing w:after="120"/>
              <w:jc w:val="both"/>
              <w:rPr>
                <w:lang w:val="es-AR"/>
              </w:rPr>
            </w:pPr>
            <w:r w:rsidRPr="00DF7172">
              <w:rPr>
                <w:lang w:val="es-US"/>
              </w:rPr>
              <w:t>Los hallazgos e informes de las evaluaciones de impacto, ya sean realizadas por el Parlamento o por el Ejecutivo, se ponen a disposición de los legisladores y del público en general.</w:t>
            </w:r>
            <w:r>
              <w:rPr>
                <w:shd w:val="clear" w:color="auto" w:fill="F7F7F8"/>
                <w:lang w:val="es-AR"/>
              </w:rPr>
              <w:t xml:space="preserve"> </w:t>
            </w:r>
          </w:p>
        </w:tc>
      </w:tr>
    </w:tbl>
    <w:p w14:paraId="44A29037" w14:textId="77777777" w:rsidR="00CE4737" w:rsidRPr="00680D03" w:rsidRDefault="00CE4737" w:rsidP="00DF7172">
      <w:pPr>
        <w:pStyle w:val="section-title"/>
        <w:jc w:val="both"/>
      </w:pPr>
      <w:r w:rsidRPr="00680D03">
        <w:t>Evaluación</w:t>
      </w:r>
    </w:p>
    <w:p w14:paraId="73B8286B" w14:textId="77777777" w:rsidR="00EF72F2" w:rsidRDefault="00EF72F2"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7AF38B60" w14:textId="77777777" w:rsidR="00EF72F2" w:rsidRDefault="00EF72F2" w:rsidP="00DF7172">
      <w:pPr>
        <w:spacing w:before="120" w:after="120"/>
        <w:jc w:val="both"/>
        <w:rPr>
          <w:lang w:val="es-AR"/>
        </w:rPr>
      </w:pPr>
      <w:r>
        <w:rPr>
          <w:lang w:val="es-AR"/>
        </w:rPr>
        <w:t>La evidencia para la evaluación de esta dimensión podría incluir lo siguiente:</w:t>
      </w:r>
    </w:p>
    <w:p w14:paraId="63038E1A" w14:textId="79DF0D3F" w:rsidR="00295648" w:rsidRPr="00307DD4" w:rsidRDefault="00307DD4" w:rsidP="00DF7172">
      <w:pPr>
        <w:numPr>
          <w:ilvl w:val="0"/>
          <w:numId w:val="16"/>
        </w:numPr>
        <w:pBdr>
          <w:top w:val="nil"/>
          <w:left w:val="nil"/>
          <w:bottom w:val="nil"/>
          <w:right w:val="nil"/>
          <w:between w:val="nil"/>
        </w:pBdr>
        <w:ind w:left="562" w:hanging="562"/>
        <w:jc w:val="both"/>
        <w:rPr>
          <w:rFonts w:eastAsia="Arial" w:cs="Arial"/>
          <w:color w:val="000000"/>
          <w:szCs w:val="20"/>
          <w:lang w:val="es-AR"/>
        </w:rPr>
      </w:pPr>
      <w:r w:rsidRPr="00307DD4">
        <w:rPr>
          <w:color w:val="000000"/>
          <w:lang w:val="es-AR"/>
        </w:rPr>
        <w:t>Guías o directrices parlamentarias para las evaluaciones de impacto</w:t>
      </w:r>
    </w:p>
    <w:p w14:paraId="1A6F6D6A" w14:textId="6F572D79" w:rsidR="00295648" w:rsidRPr="00307DD4" w:rsidRDefault="00307DD4" w:rsidP="00DF7172">
      <w:pPr>
        <w:numPr>
          <w:ilvl w:val="0"/>
          <w:numId w:val="16"/>
        </w:numPr>
        <w:pBdr>
          <w:top w:val="nil"/>
          <w:left w:val="nil"/>
          <w:bottom w:val="nil"/>
          <w:right w:val="nil"/>
          <w:between w:val="nil"/>
        </w:pBdr>
        <w:ind w:left="562" w:hanging="562"/>
        <w:jc w:val="both"/>
        <w:rPr>
          <w:rFonts w:eastAsia="Arial" w:cs="Arial"/>
          <w:color w:val="000000"/>
          <w:szCs w:val="20"/>
          <w:lang w:val="es-AR"/>
        </w:rPr>
      </w:pPr>
      <w:r w:rsidRPr="00307DD4">
        <w:rPr>
          <w:color w:val="000000"/>
          <w:lang w:val="es-AR"/>
        </w:rPr>
        <w:t>Hallazgos e informes de las evaluaciones de impacto</w:t>
      </w:r>
    </w:p>
    <w:p w14:paraId="3FC5398C" w14:textId="502EBC47" w:rsidR="00295648" w:rsidRPr="00307DD4" w:rsidRDefault="00307DD4" w:rsidP="00DF7172">
      <w:pPr>
        <w:numPr>
          <w:ilvl w:val="0"/>
          <w:numId w:val="16"/>
        </w:numPr>
        <w:pBdr>
          <w:top w:val="nil"/>
          <w:left w:val="nil"/>
          <w:bottom w:val="nil"/>
          <w:right w:val="nil"/>
          <w:between w:val="nil"/>
        </w:pBdr>
        <w:ind w:left="562" w:hanging="562"/>
        <w:jc w:val="both"/>
        <w:rPr>
          <w:rFonts w:eastAsia="Arial" w:cs="Arial"/>
          <w:color w:val="000000"/>
          <w:szCs w:val="20"/>
          <w:lang w:val="es-AR"/>
        </w:rPr>
      </w:pPr>
      <w:r w:rsidRPr="00307DD4">
        <w:rPr>
          <w:color w:val="000000"/>
          <w:lang w:val="es-AR"/>
        </w:rPr>
        <w:t xml:space="preserve">Cantidad de ejercicios de evaluaciones de impacto llevadas a cabo por el </w:t>
      </w:r>
      <w:r>
        <w:rPr>
          <w:color w:val="000000"/>
          <w:lang w:val="es-AR"/>
        </w:rPr>
        <w:t>Parlamento durante el año</w:t>
      </w:r>
    </w:p>
    <w:p w14:paraId="0C3D98FD" w14:textId="24804BC6" w:rsidR="00295648" w:rsidRPr="003F42D4" w:rsidRDefault="00295648" w:rsidP="00DF7172">
      <w:pPr>
        <w:numPr>
          <w:ilvl w:val="0"/>
          <w:numId w:val="16"/>
        </w:numPr>
        <w:pBdr>
          <w:top w:val="nil"/>
          <w:left w:val="nil"/>
          <w:bottom w:val="nil"/>
          <w:right w:val="nil"/>
          <w:between w:val="nil"/>
        </w:pBdr>
        <w:ind w:left="562" w:hanging="562"/>
        <w:jc w:val="both"/>
        <w:rPr>
          <w:rFonts w:eastAsia="Arial" w:cs="Arial"/>
          <w:color w:val="000000"/>
          <w:szCs w:val="20"/>
          <w:lang w:val="es-AR"/>
        </w:rPr>
      </w:pPr>
      <w:r w:rsidRPr="003F42D4">
        <w:rPr>
          <w:color w:val="000000"/>
          <w:lang w:val="es-AR"/>
        </w:rPr>
        <w:t>E</w:t>
      </w:r>
      <w:r w:rsidR="003F42D4" w:rsidRPr="003F42D4">
        <w:rPr>
          <w:color w:val="000000"/>
          <w:lang w:val="es-AR"/>
        </w:rPr>
        <w:t>jemplos de proyectos de ley o políticas propuestas que hayan sido modificadas product</w:t>
      </w:r>
      <w:r w:rsidR="003F42D4">
        <w:rPr>
          <w:color w:val="000000"/>
          <w:lang w:val="es-AR"/>
        </w:rPr>
        <w:t xml:space="preserve">o </w:t>
      </w:r>
      <w:r w:rsidR="003F42D4" w:rsidRPr="003F42D4">
        <w:rPr>
          <w:color w:val="000000"/>
          <w:lang w:val="es-AR"/>
        </w:rPr>
        <w:t>de los resultados de evaluaciones de impacto</w:t>
      </w:r>
    </w:p>
    <w:p w14:paraId="3222CF51" w14:textId="0CAFA6AB" w:rsidR="00295648" w:rsidRPr="003F42D4" w:rsidRDefault="003F42D4" w:rsidP="00DF7172">
      <w:pPr>
        <w:numPr>
          <w:ilvl w:val="0"/>
          <w:numId w:val="16"/>
        </w:numPr>
        <w:pBdr>
          <w:top w:val="nil"/>
          <w:left w:val="nil"/>
          <w:bottom w:val="nil"/>
          <w:right w:val="nil"/>
          <w:between w:val="nil"/>
        </w:pBdr>
        <w:ind w:left="562" w:hanging="562"/>
        <w:jc w:val="both"/>
        <w:rPr>
          <w:rFonts w:eastAsia="Arial" w:cs="Arial"/>
          <w:color w:val="000000"/>
          <w:szCs w:val="20"/>
          <w:lang w:val="es-AR"/>
        </w:rPr>
      </w:pPr>
      <w:r w:rsidRPr="003F42D4">
        <w:rPr>
          <w:color w:val="000000"/>
          <w:lang w:val="es-AR"/>
        </w:rPr>
        <w:t>Detal</w:t>
      </w:r>
      <w:r w:rsidR="00AC6562" w:rsidRPr="003F42D4">
        <w:rPr>
          <w:color w:val="000000"/>
          <w:lang w:val="es-AR"/>
        </w:rPr>
        <w:t>l</w:t>
      </w:r>
      <w:r w:rsidRPr="003F42D4">
        <w:rPr>
          <w:color w:val="000000"/>
          <w:lang w:val="es-AR"/>
        </w:rPr>
        <w:t>e</w:t>
      </w:r>
      <w:r w:rsidR="00AC6562" w:rsidRPr="003F42D4">
        <w:rPr>
          <w:color w:val="000000"/>
          <w:lang w:val="es-AR"/>
        </w:rPr>
        <w:t>s</w:t>
      </w:r>
      <w:r w:rsidRPr="003F42D4">
        <w:rPr>
          <w:color w:val="000000"/>
          <w:lang w:val="es-AR"/>
        </w:rPr>
        <w:t xml:space="preserve"> de una unidad especial o personal </w:t>
      </w:r>
      <w:r>
        <w:rPr>
          <w:color w:val="000000"/>
          <w:lang w:val="es-AR"/>
        </w:rPr>
        <w:t>responsa</w:t>
      </w:r>
      <w:r w:rsidRPr="003F42D4">
        <w:rPr>
          <w:color w:val="000000"/>
          <w:lang w:val="es-AR"/>
        </w:rPr>
        <w:t>ble de llevar a cabo evaluaciones de impacto</w:t>
      </w:r>
    </w:p>
    <w:p w14:paraId="7C78331C" w14:textId="447A7429" w:rsidR="00295648" w:rsidRPr="003F42D4" w:rsidRDefault="0012380A" w:rsidP="00DF7172">
      <w:pPr>
        <w:numPr>
          <w:ilvl w:val="0"/>
          <w:numId w:val="16"/>
        </w:numPr>
        <w:pBdr>
          <w:top w:val="nil"/>
          <w:left w:val="nil"/>
          <w:bottom w:val="nil"/>
          <w:right w:val="nil"/>
          <w:between w:val="nil"/>
        </w:pBdr>
        <w:ind w:left="562" w:hanging="562"/>
        <w:jc w:val="both"/>
        <w:rPr>
          <w:rFonts w:eastAsia="Arial" w:cs="Arial"/>
          <w:color w:val="000000"/>
          <w:szCs w:val="20"/>
          <w:lang w:val="es-AR"/>
        </w:rPr>
      </w:pPr>
      <w:r w:rsidRPr="003F42D4">
        <w:rPr>
          <w:color w:val="000000"/>
          <w:lang w:val="es-AR"/>
        </w:rPr>
        <w:t>I</w:t>
      </w:r>
      <w:r w:rsidR="003F42D4" w:rsidRPr="003F42D4">
        <w:rPr>
          <w:color w:val="000000"/>
          <w:lang w:val="es-AR"/>
        </w:rPr>
        <w:t>nformes de evaluaciones de impacto publicados en el sitio web parlamentario</w:t>
      </w:r>
    </w:p>
    <w:p w14:paraId="37BC62BB" w14:textId="77777777" w:rsidR="00295648" w:rsidRPr="003F42D4" w:rsidRDefault="00295648" w:rsidP="00DF7172">
      <w:pPr>
        <w:pBdr>
          <w:top w:val="nil"/>
          <w:left w:val="nil"/>
          <w:bottom w:val="nil"/>
          <w:right w:val="nil"/>
          <w:between w:val="nil"/>
        </w:pBdr>
        <w:spacing w:line="276" w:lineRule="auto"/>
        <w:ind w:left="720"/>
        <w:jc w:val="both"/>
        <w:rPr>
          <w:rFonts w:eastAsia="Arial" w:cs="Arial"/>
          <w:color w:val="000000"/>
          <w:sz w:val="12"/>
          <w:szCs w:val="20"/>
          <w:lang w:val="es-AR" w:eastAsia="en-GB"/>
        </w:rPr>
      </w:pPr>
    </w:p>
    <w:p w14:paraId="7A373964" w14:textId="102E29F4" w:rsidR="003E4A4D" w:rsidRPr="003E4A4D" w:rsidRDefault="00773480" w:rsidP="00DF7172">
      <w:pPr>
        <w:spacing w:after="120"/>
        <w:jc w:val="both"/>
        <w:rPr>
          <w:szCs w:val="20"/>
          <w:lang w:val="es-AR"/>
        </w:rPr>
      </w:pPr>
      <w:r>
        <w:rPr>
          <w:lang w:val="es-AR"/>
        </w:rPr>
        <w:lastRenderedPageBreak/>
        <w:t>Cuando corresponda, proporcione comentarios adicionales o ejemplos que respalden la evaluación.</w:t>
      </w:r>
    </w:p>
    <w:p w14:paraId="203F0A3D" w14:textId="1193ED5D" w:rsidR="00295648" w:rsidRPr="00656F7F" w:rsidRDefault="00CE4737" w:rsidP="00DF7172">
      <w:pPr>
        <w:pStyle w:val="Heading4"/>
        <w:jc w:val="both"/>
        <w:rPr>
          <w:lang w:val="es-AR"/>
        </w:rPr>
      </w:pPr>
      <w:r>
        <w:rPr>
          <w:lang w:val="es-AR"/>
        </w:rPr>
        <w:t xml:space="preserve">Criterio de evaluación </w:t>
      </w:r>
      <w:r w:rsidR="00295648" w:rsidRPr="00656F7F">
        <w:rPr>
          <w:lang w:val="es-AR"/>
        </w:rPr>
        <w:t xml:space="preserve">1: </w:t>
      </w:r>
      <w:r w:rsidR="002708C6" w:rsidRPr="00656F7F">
        <w:rPr>
          <w:lang w:val="es-AR"/>
        </w:rPr>
        <w:t>Us</w:t>
      </w:r>
      <w:r w:rsidR="003E4A4D" w:rsidRPr="00656F7F">
        <w:rPr>
          <w:lang w:val="es-AR"/>
        </w:rPr>
        <w:t>o de evaluaciones de impacto</w:t>
      </w:r>
    </w:p>
    <w:p w14:paraId="04E8C0E8" w14:textId="4154EB41" w:rsidR="00295648" w:rsidRPr="003F42D4" w:rsidRDefault="003F42D4" w:rsidP="00DF7172">
      <w:pPr>
        <w:spacing w:after="120"/>
        <w:jc w:val="both"/>
        <w:rPr>
          <w:lang w:val="es-AR"/>
        </w:rPr>
      </w:pPr>
      <w:r w:rsidRPr="003F42D4">
        <w:rPr>
          <w:lang w:val="es-AR"/>
        </w:rPr>
        <w:t xml:space="preserve">Las evaluaciones de impacto sobre los efectos positivos y negativos de las propuestas de leyes </w:t>
      </w:r>
      <w:r>
        <w:rPr>
          <w:lang w:val="es-AR"/>
        </w:rPr>
        <w:t xml:space="preserve">sobre </w:t>
      </w:r>
      <w:r w:rsidRPr="003F42D4">
        <w:rPr>
          <w:lang w:val="es-AR"/>
        </w:rPr>
        <w:t xml:space="preserve">diferentes grupos sociales son parte establecida del proceso legislativo. </w:t>
      </w:r>
    </w:p>
    <w:tbl>
      <w:tblPr>
        <w:tblW w:w="4988" w:type="pct"/>
        <w:tblInd w:w="10" w:type="dxa"/>
        <w:tblLook w:val="0400" w:firstRow="0" w:lastRow="0" w:firstColumn="0" w:lastColumn="0" w:noHBand="0" w:noVBand="1"/>
      </w:tblPr>
      <w:tblGrid>
        <w:gridCol w:w="1460"/>
        <w:gridCol w:w="1459"/>
        <w:gridCol w:w="1459"/>
        <w:gridCol w:w="1459"/>
        <w:gridCol w:w="1459"/>
        <w:gridCol w:w="1463"/>
      </w:tblGrid>
      <w:tr w:rsidR="00CE7E17" w:rsidRPr="004D0354" w14:paraId="3493A5F6"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FFA8B99" w14:textId="77777777" w:rsidR="00CE7E17" w:rsidRDefault="00CE7E17" w:rsidP="00DF7172">
            <w:pPr>
              <w:jc w:val="both"/>
              <w:rPr>
                <w:szCs w:val="20"/>
              </w:rPr>
            </w:pPr>
            <w:r>
              <w:t>Inexistente</w:t>
            </w:r>
          </w:p>
          <w:sdt>
            <w:sdtPr>
              <w:rPr>
                <w:rFonts w:eastAsia="Arimo"/>
                <w:szCs w:val="20"/>
              </w:rPr>
              <w:id w:val="1987740708"/>
              <w14:checkbox>
                <w14:checked w14:val="0"/>
                <w14:checkedState w14:val="2612" w14:font="MS Gothic"/>
                <w14:uncheckedState w14:val="2610" w14:font="MS Gothic"/>
              </w14:checkbox>
            </w:sdtPr>
            <w:sdtEndPr/>
            <w:sdtContent>
              <w:p w14:paraId="1B255D4B" w14:textId="79CA6B95"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AA79D63" w14:textId="77777777" w:rsidR="00CE7E17" w:rsidRDefault="00CE7E17" w:rsidP="00DF7172">
            <w:pPr>
              <w:jc w:val="both"/>
              <w:rPr>
                <w:szCs w:val="20"/>
              </w:rPr>
            </w:pPr>
            <w:r>
              <w:t>Rudimentario</w:t>
            </w:r>
          </w:p>
          <w:sdt>
            <w:sdtPr>
              <w:rPr>
                <w:rFonts w:eastAsia="Arimo"/>
                <w:szCs w:val="20"/>
              </w:rPr>
              <w:id w:val="-1216803761"/>
              <w14:checkbox>
                <w14:checked w14:val="0"/>
                <w14:checkedState w14:val="2612" w14:font="MS Gothic"/>
                <w14:uncheckedState w14:val="2610" w14:font="MS Gothic"/>
              </w14:checkbox>
            </w:sdtPr>
            <w:sdtEndPr/>
            <w:sdtContent>
              <w:p w14:paraId="4C25E119" w14:textId="2B4DAA0B"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2CD4028" w14:textId="77777777" w:rsidR="00CE7E17" w:rsidRDefault="00CE7E17" w:rsidP="00DF7172">
            <w:pPr>
              <w:jc w:val="both"/>
              <w:rPr>
                <w:szCs w:val="20"/>
              </w:rPr>
            </w:pPr>
            <w:r>
              <w:t>Básico</w:t>
            </w:r>
          </w:p>
          <w:sdt>
            <w:sdtPr>
              <w:rPr>
                <w:rFonts w:eastAsia="Arimo"/>
                <w:szCs w:val="20"/>
              </w:rPr>
              <w:id w:val="1924524484"/>
              <w14:checkbox>
                <w14:checked w14:val="0"/>
                <w14:checkedState w14:val="2612" w14:font="MS Gothic"/>
                <w14:uncheckedState w14:val="2610" w14:font="MS Gothic"/>
              </w14:checkbox>
            </w:sdtPr>
            <w:sdtEndPr/>
            <w:sdtContent>
              <w:p w14:paraId="090EF47A" w14:textId="57230FAD"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59D726" w14:textId="77777777" w:rsidR="00CE7E17" w:rsidRDefault="00CE7E17" w:rsidP="00DF7172">
            <w:pPr>
              <w:jc w:val="both"/>
              <w:rPr>
                <w:szCs w:val="20"/>
              </w:rPr>
            </w:pPr>
            <w:r>
              <w:t>Bueno</w:t>
            </w:r>
          </w:p>
          <w:sdt>
            <w:sdtPr>
              <w:rPr>
                <w:rFonts w:eastAsia="Arimo"/>
                <w:szCs w:val="20"/>
              </w:rPr>
              <w:id w:val="1599836194"/>
              <w14:checkbox>
                <w14:checked w14:val="0"/>
                <w14:checkedState w14:val="2612" w14:font="MS Gothic"/>
                <w14:uncheckedState w14:val="2610" w14:font="MS Gothic"/>
              </w14:checkbox>
            </w:sdtPr>
            <w:sdtEndPr/>
            <w:sdtContent>
              <w:p w14:paraId="4053F502" w14:textId="009F9604"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4161B3" w14:textId="77777777" w:rsidR="00CE7E17" w:rsidRDefault="00CE7E17" w:rsidP="00DF7172">
            <w:pPr>
              <w:jc w:val="both"/>
              <w:rPr>
                <w:szCs w:val="20"/>
              </w:rPr>
            </w:pPr>
            <w:r>
              <w:t>Muy bueno</w:t>
            </w:r>
          </w:p>
          <w:sdt>
            <w:sdtPr>
              <w:rPr>
                <w:rFonts w:eastAsia="Arimo"/>
                <w:szCs w:val="20"/>
              </w:rPr>
              <w:id w:val="-946075552"/>
              <w14:checkbox>
                <w14:checked w14:val="0"/>
                <w14:checkedState w14:val="2612" w14:font="MS Gothic"/>
                <w14:uncheckedState w14:val="2610" w14:font="MS Gothic"/>
              </w14:checkbox>
            </w:sdtPr>
            <w:sdtEndPr/>
            <w:sdtContent>
              <w:p w14:paraId="2A3A4448" w14:textId="4D4DE34E"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855F031"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711328217"/>
              <w14:checkbox>
                <w14:checked w14:val="0"/>
                <w14:checkedState w14:val="2612" w14:font="MS Gothic"/>
                <w14:uncheckedState w14:val="2610" w14:font="MS Gothic"/>
              </w14:checkbox>
            </w:sdtPr>
            <w:sdtEndPr/>
            <w:sdtContent>
              <w:p w14:paraId="5B67B4E5" w14:textId="03EC4A44"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7C99BB23"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9CA9A" w14:textId="77777777" w:rsidR="00CE7E17" w:rsidRDefault="00CE7E17" w:rsidP="00DF7172">
            <w:pPr>
              <w:jc w:val="both"/>
              <w:rPr>
                <w:color w:val="005F9A"/>
                <w:szCs w:val="20"/>
                <w:lang w:val="es-AR"/>
              </w:rPr>
            </w:pPr>
            <w:r>
              <w:rPr>
                <w:color w:val="005F9A"/>
                <w:lang w:val="es-AR"/>
              </w:rPr>
              <w:t>Evidencia para este criterio de evaluación:</w:t>
            </w:r>
          </w:p>
          <w:p w14:paraId="160E3CC1" w14:textId="77777777" w:rsidR="00CE7E17" w:rsidRPr="00C36134" w:rsidRDefault="00CE7E17" w:rsidP="00DF7172">
            <w:pPr>
              <w:jc w:val="both"/>
              <w:rPr>
                <w:color w:val="0000FF"/>
                <w:szCs w:val="20"/>
                <w:lang w:val="es-AR"/>
              </w:rPr>
            </w:pPr>
          </w:p>
          <w:p w14:paraId="599D24CD" w14:textId="77777777" w:rsidR="00CE7E17" w:rsidRPr="00656F7F" w:rsidRDefault="00CE7E17" w:rsidP="00DF7172">
            <w:pPr>
              <w:spacing w:line="276" w:lineRule="auto"/>
              <w:jc w:val="both"/>
              <w:rPr>
                <w:rFonts w:cs="Arial"/>
                <w:color w:val="0000FF"/>
                <w:sz w:val="18"/>
                <w:szCs w:val="18"/>
                <w:lang w:val="es-AR"/>
              </w:rPr>
            </w:pPr>
          </w:p>
        </w:tc>
      </w:tr>
    </w:tbl>
    <w:p w14:paraId="2746E285" w14:textId="469DEE87" w:rsidR="00294B27" w:rsidRPr="00DF7172" w:rsidRDefault="00CE4737" w:rsidP="00DF7172">
      <w:pPr>
        <w:pStyle w:val="Heading4"/>
        <w:jc w:val="both"/>
        <w:rPr>
          <w:lang w:val="es-US"/>
        </w:rPr>
      </w:pPr>
      <w:r w:rsidRPr="00DF7172">
        <w:rPr>
          <w:lang w:val="es-US"/>
        </w:rPr>
        <w:t xml:space="preserve">Criterio de evaluación </w:t>
      </w:r>
      <w:r w:rsidR="00294B27" w:rsidRPr="00DF7172">
        <w:rPr>
          <w:lang w:val="es-US"/>
        </w:rPr>
        <w:t>2: Exper</w:t>
      </w:r>
      <w:r w:rsidR="003F42D4" w:rsidRPr="00DF7172">
        <w:rPr>
          <w:lang w:val="es-US"/>
        </w:rPr>
        <w:t>tise</w:t>
      </w:r>
    </w:p>
    <w:p w14:paraId="656CDC4F" w14:textId="5F022A07" w:rsidR="00294B27" w:rsidRPr="00E158AE" w:rsidRDefault="00E158AE" w:rsidP="00DF7172">
      <w:pPr>
        <w:spacing w:after="120"/>
        <w:jc w:val="both"/>
        <w:rPr>
          <w:lang w:val="es-AR"/>
        </w:rPr>
      </w:pPr>
      <w:r w:rsidRPr="00E158AE">
        <w:rPr>
          <w:lang w:val="es-AR"/>
        </w:rPr>
        <w:t xml:space="preserve">El Parlamento cuenta con la expertise </w:t>
      </w:r>
      <w:r>
        <w:rPr>
          <w:lang w:val="es-AR"/>
        </w:rPr>
        <w:t xml:space="preserve">o experiencia </w:t>
      </w:r>
      <w:r w:rsidRPr="00E158AE">
        <w:rPr>
          <w:lang w:val="es-AR"/>
        </w:rPr>
        <w:t>necesaria, ya sea entre</w:t>
      </w:r>
      <w:r>
        <w:rPr>
          <w:lang w:val="es-AR"/>
        </w:rPr>
        <w:t xml:space="preserve"> el personal parlamentario, </w:t>
      </w:r>
      <w:r w:rsidRPr="00E158AE">
        <w:rPr>
          <w:lang w:val="es-AR"/>
        </w:rPr>
        <w:t>organismos asesores o expertos externos, para analizar los informes de evaluaciones de impacto o para llevar a cabo o encargar sus propias evaluaciones de impacto.</w:t>
      </w:r>
    </w:p>
    <w:tbl>
      <w:tblPr>
        <w:tblW w:w="4976" w:type="pct"/>
        <w:tblInd w:w="20" w:type="dxa"/>
        <w:tblCellMar>
          <w:left w:w="115" w:type="dxa"/>
          <w:right w:w="115" w:type="dxa"/>
        </w:tblCellMar>
        <w:tblLook w:val="0400" w:firstRow="0" w:lastRow="0" w:firstColumn="0" w:lastColumn="0" w:noHBand="0" w:noVBand="1"/>
      </w:tblPr>
      <w:tblGrid>
        <w:gridCol w:w="1455"/>
        <w:gridCol w:w="1456"/>
        <w:gridCol w:w="1456"/>
        <w:gridCol w:w="1456"/>
        <w:gridCol w:w="1456"/>
        <w:gridCol w:w="1459"/>
      </w:tblGrid>
      <w:tr w:rsidR="00CE7E17" w:rsidRPr="004D0354" w14:paraId="065FB454" w14:textId="77777777" w:rsidTr="007E7F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9D9C81" w14:textId="77777777" w:rsidR="00CE7E17" w:rsidRDefault="00CE7E17" w:rsidP="00DF7172">
            <w:pPr>
              <w:jc w:val="both"/>
              <w:rPr>
                <w:szCs w:val="20"/>
              </w:rPr>
            </w:pPr>
            <w:r>
              <w:t>Inexistente</w:t>
            </w:r>
          </w:p>
          <w:sdt>
            <w:sdtPr>
              <w:rPr>
                <w:rFonts w:eastAsia="Arimo"/>
                <w:szCs w:val="20"/>
              </w:rPr>
              <w:id w:val="1912268420"/>
              <w14:checkbox>
                <w14:checked w14:val="0"/>
                <w14:checkedState w14:val="2612" w14:font="MS Gothic"/>
                <w14:uncheckedState w14:val="2610" w14:font="MS Gothic"/>
              </w14:checkbox>
            </w:sdtPr>
            <w:sdtEndPr/>
            <w:sdtContent>
              <w:p w14:paraId="27B47691" w14:textId="4E89CA84"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6ACFD1" w14:textId="77777777" w:rsidR="00CE7E17" w:rsidRDefault="00CE7E17" w:rsidP="00DF7172">
            <w:pPr>
              <w:jc w:val="both"/>
              <w:rPr>
                <w:szCs w:val="20"/>
              </w:rPr>
            </w:pPr>
            <w:r>
              <w:t>Rudimentario</w:t>
            </w:r>
          </w:p>
          <w:sdt>
            <w:sdtPr>
              <w:rPr>
                <w:rFonts w:eastAsia="Arimo"/>
                <w:szCs w:val="20"/>
              </w:rPr>
              <w:id w:val="-931117104"/>
              <w14:checkbox>
                <w14:checked w14:val="0"/>
                <w14:checkedState w14:val="2612" w14:font="MS Gothic"/>
                <w14:uncheckedState w14:val="2610" w14:font="MS Gothic"/>
              </w14:checkbox>
            </w:sdtPr>
            <w:sdtEndPr/>
            <w:sdtContent>
              <w:p w14:paraId="09465156" w14:textId="7BB37551"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A729EF" w14:textId="77777777" w:rsidR="00CE7E17" w:rsidRDefault="00CE7E17" w:rsidP="00DF7172">
            <w:pPr>
              <w:jc w:val="both"/>
              <w:rPr>
                <w:szCs w:val="20"/>
              </w:rPr>
            </w:pPr>
            <w:r>
              <w:t>Básico</w:t>
            </w:r>
          </w:p>
          <w:sdt>
            <w:sdtPr>
              <w:rPr>
                <w:rFonts w:eastAsia="Arimo"/>
                <w:szCs w:val="20"/>
              </w:rPr>
              <w:id w:val="1239298214"/>
              <w14:checkbox>
                <w14:checked w14:val="0"/>
                <w14:checkedState w14:val="2612" w14:font="MS Gothic"/>
                <w14:uncheckedState w14:val="2610" w14:font="MS Gothic"/>
              </w14:checkbox>
            </w:sdtPr>
            <w:sdtEndPr/>
            <w:sdtContent>
              <w:p w14:paraId="62E262AF" w14:textId="0F006256"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C39B7F" w14:textId="77777777" w:rsidR="00CE7E17" w:rsidRDefault="00CE7E17" w:rsidP="00DF7172">
            <w:pPr>
              <w:jc w:val="both"/>
              <w:rPr>
                <w:szCs w:val="20"/>
              </w:rPr>
            </w:pPr>
            <w:r>
              <w:t>Bueno</w:t>
            </w:r>
          </w:p>
          <w:sdt>
            <w:sdtPr>
              <w:rPr>
                <w:rFonts w:eastAsia="Arimo"/>
                <w:szCs w:val="20"/>
              </w:rPr>
              <w:id w:val="-1567178201"/>
              <w14:checkbox>
                <w14:checked w14:val="0"/>
                <w14:checkedState w14:val="2612" w14:font="MS Gothic"/>
                <w14:uncheckedState w14:val="2610" w14:font="MS Gothic"/>
              </w14:checkbox>
            </w:sdtPr>
            <w:sdtEndPr/>
            <w:sdtContent>
              <w:p w14:paraId="2B503520" w14:textId="27314F40"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448EDC" w14:textId="77777777" w:rsidR="00CE7E17" w:rsidRDefault="00CE7E17" w:rsidP="00DF7172">
            <w:pPr>
              <w:jc w:val="both"/>
              <w:rPr>
                <w:szCs w:val="20"/>
              </w:rPr>
            </w:pPr>
            <w:r>
              <w:t>Muy bueno</w:t>
            </w:r>
          </w:p>
          <w:sdt>
            <w:sdtPr>
              <w:rPr>
                <w:rFonts w:eastAsia="Arimo"/>
                <w:szCs w:val="20"/>
              </w:rPr>
              <w:id w:val="-1271384884"/>
              <w14:checkbox>
                <w14:checked w14:val="0"/>
                <w14:checkedState w14:val="2612" w14:font="MS Gothic"/>
                <w14:uncheckedState w14:val="2610" w14:font="MS Gothic"/>
              </w14:checkbox>
            </w:sdtPr>
            <w:sdtEndPr/>
            <w:sdtContent>
              <w:p w14:paraId="532BB462" w14:textId="41297C4B"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1CC5205"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854255673"/>
              <w14:checkbox>
                <w14:checked w14:val="0"/>
                <w14:checkedState w14:val="2612" w14:font="MS Gothic"/>
                <w14:uncheckedState w14:val="2610" w14:font="MS Gothic"/>
              </w14:checkbox>
            </w:sdtPr>
            <w:sdtEndPr/>
            <w:sdtContent>
              <w:p w14:paraId="6ADEF4BC" w14:textId="2673720B"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788104A8" w14:textId="77777777" w:rsidTr="007E7F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ADCE0" w14:textId="77777777" w:rsidR="00CE7E17" w:rsidRDefault="00CE7E17" w:rsidP="00DF7172">
            <w:pPr>
              <w:jc w:val="both"/>
              <w:rPr>
                <w:color w:val="005F9A"/>
                <w:szCs w:val="20"/>
                <w:lang w:val="es-AR"/>
              </w:rPr>
            </w:pPr>
            <w:r>
              <w:rPr>
                <w:color w:val="005F9A"/>
                <w:lang w:val="es-AR"/>
              </w:rPr>
              <w:t>Evidencia para este criterio de evaluación:</w:t>
            </w:r>
          </w:p>
          <w:p w14:paraId="0E283ECA" w14:textId="77777777" w:rsidR="00CE7E17" w:rsidRPr="00C36134" w:rsidRDefault="00CE7E17" w:rsidP="00DF7172">
            <w:pPr>
              <w:jc w:val="both"/>
              <w:rPr>
                <w:color w:val="0000FF"/>
                <w:szCs w:val="20"/>
                <w:lang w:val="es-AR"/>
              </w:rPr>
            </w:pPr>
          </w:p>
          <w:p w14:paraId="40A0EBC0" w14:textId="77777777" w:rsidR="00CE7E17" w:rsidRPr="00656F7F" w:rsidRDefault="00CE7E17" w:rsidP="00DF7172">
            <w:pPr>
              <w:spacing w:line="276" w:lineRule="auto"/>
              <w:jc w:val="both"/>
              <w:rPr>
                <w:rFonts w:cs="Arial"/>
                <w:color w:val="0000FF"/>
                <w:sz w:val="18"/>
                <w:szCs w:val="18"/>
                <w:lang w:val="es-AR"/>
              </w:rPr>
            </w:pPr>
          </w:p>
        </w:tc>
      </w:tr>
    </w:tbl>
    <w:p w14:paraId="6B2494A2" w14:textId="136A667E" w:rsidR="00295648" w:rsidRPr="00DF7172" w:rsidRDefault="00CE4737" w:rsidP="00DF7172">
      <w:pPr>
        <w:pStyle w:val="Heading4"/>
        <w:jc w:val="both"/>
        <w:rPr>
          <w:lang w:val="es-US"/>
        </w:rPr>
      </w:pPr>
      <w:r w:rsidRPr="00DF7172">
        <w:rPr>
          <w:lang w:val="es-US"/>
        </w:rPr>
        <w:t xml:space="preserve">Criterio de evaluación </w:t>
      </w:r>
      <w:r w:rsidR="00294B27" w:rsidRPr="00DF7172">
        <w:rPr>
          <w:lang w:val="es-US"/>
        </w:rPr>
        <w:t>3</w:t>
      </w:r>
      <w:r w:rsidR="00295648" w:rsidRPr="00DF7172">
        <w:rPr>
          <w:lang w:val="es-US"/>
        </w:rPr>
        <w:t xml:space="preserve">: </w:t>
      </w:r>
      <w:r w:rsidR="002708C6" w:rsidRPr="00DF7172">
        <w:rPr>
          <w:lang w:val="es-US"/>
        </w:rPr>
        <w:t>Publica</w:t>
      </w:r>
      <w:r w:rsidR="003E4A4D" w:rsidRPr="00DF7172">
        <w:rPr>
          <w:lang w:val="es-US"/>
        </w:rPr>
        <w:t>ción</w:t>
      </w:r>
    </w:p>
    <w:p w14:paraId="7566EAAF" w14:textId="5F846893" w:rsidR="00295648" w:rsidRPr="00DF7172" w:rsidRDefault="00E158AE" w:rsidP="00DF7172">
      <w:pPr>
        <w:spacing w:after="120"/>
        <w:jc w:val="both"/>
        <w:rPr>
          <w:rFonts w:eastAsia="Arial" w:cs="Arial"/>
          <w:szCs w:val="20"/>
          <w:lang w:val="es-US"/>
        </w:rPr>
      </w:pPr>
      <w:r w:rsidRPr="00E158AE">
        <w:rPr>
          <w:lang w:val="es-AR"/>
        </w:rPr>
        <w:t>Los hallazgos e informes de las evaluaciones de impacto, ya sean realizadas por el Parlamento o por el Ejecutivo, se ponen a disposición de los legisladores y del público en general.</w:t>
      </w:r>
      <w:r>
        <w:rPr>
          <w:shd w:val="clear" w:color="auto" w:fill="F7F7F8"/>
          <w:lang w:val="es-AR"/>
        </w:rPr>
        <w:t xml:space="preserve"> </w:t>
      </w:r>
    </w:p>
    <w:tbl>
      <w:tblPr>
        <w:tblW w:w="4976" w:type="pct"/>
        <w:tblInd w:w="20" w:type="dxa"/>
        <w:tblCellMar>
          <w:left w:w="115" w:type="dxa"/>
          <w:right w:w="115" w:type="dxa"/>
        </w:tblCellMar>
        <w:tblLook w:val="0400" w:firstRow="0" w:lastRow="0" w:firstColumn="0" w:lastColumn="0" w:noHBand="0" w:noVBand="1"/>
      </w:tblPr>
      <w:tblGrid>
        <w:gridCol w:w="1455"/>
        <w:gridCol w:w="1456"/>
        <w:gridCol w:w="1456"/>
        <w:gridCol w:w="1456"/>
        <w:gridCol w:w="1456"/>
        <w:gridCol w:w="1459"/>
      </w:tblGrid>
      <w:tr w:rsidR="00CE7E17" w:rsidRPr="004D0354" w14:paraId="3A344BA9" w14:textId="77777777" w:rsidTr="007E7F5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44A3A5F" w14:textId="77777777" w:rsidR="00CE7E17" w:rsidRDefault="00CE7E17" w:rsidP="00DF7172">
            <w:pPr>
              <w:jc w:val="both"/>
              <w:rPr>
                <w:szCs w:val="20"/>
              </w:rPr>
            </w:pPr>
            <w:r>
              <w:t>Inexistente</w:t>
            </w:r>
          </w:p>
          <w:sdt>
            <w:sdtPr>
              <w:rPr>
                <w:rFonts w:eastAsia="Arimo"/>
                <w:szCs w:val="20"/>
              </w:rPr>
              <w:id w:val="211169108"/>
              <w14:checkbox>
                <w14:checked w14:val="0"/>
                <w14:checkedState w14:val="2612" w14:font="MS Gothic"/>
                <w14:uncheckedState w14:val="2610" w14:font="MS Gothic"/>
              </w14:checkbox>
            </w:sdtPr>
            <w:sdtEndPr/>
            <w:sdtContent>
              <w:p w14:paraId="6F41D952" w14:textId="7EADFB8A" w:rsidR="00CE7E17" w:rsidRPr="004D0354" w:rsidRDefault="00CE7E17" w:rsidP="00DF7172">
                <w:pPr>
                  <w:keepLines/>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0752EC" w14:textId="77777777" w:rsidR="00CE7E17" w:rsidRDefault="00CE7E17" w:rsidP="00DF7172">
            <w:pPr>
              <w:jc w:val="both"/>
              <w:rPr>
                <w:szCs w:val="20"/>
              </w:rPr>
            </w:pPr>
            <w:r>
              <w:t>Rudimentario</w:t>
            </w:r>
          </w:p>
          <w:sdt>
            <w:sdtPr>
              <w:rPr>
                <w:rFonts w:eastAsia="Arimo"/>
                <w:szCs w:val="20"/>
              </w:rPr>
              <w:id w:val="-179971838"/>
              <w14:checkbox>
                <w14:checked w14:val="0"/>
                <w14:checkedState w14:val="2612" w14:font="MS Gothic"/>
                <w14:uncheckedState w14:val="2610" w14:font="MS Gothic"/>
              </w14:checkbox>
            </w:sdtPr>
            <w:sdtEndPr/>
            <w:sdtContent>
              <w:p w14:paraId="0FC82E90" w14:textId="2504FC2E" w:rsidR="00CE7E17" w:rsidRPr="004D0354" w:rsidRDefault="00CE7E17" w:rsidP="00DF7172">
                <w:pPr>
                  <w:keepLines/>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0CB882B" w14:textId="77777777" w:rsidR="00CE7E17" w:rsidRDefault="00CE7E17" w:rsidP="00DF7172">
            <w:pPr>
              <w:jc w:val="both"/>
              <w:rPr>
                <w:szCs w:val="20"/>
              </w:rPr>
            </w:pPr>
            <w:r>
              <w:t>Básico</w:t>
            </w:r>
          </w:p>
          <w:sdt>
            <w:sdtPr>
              <w:rPr>
                <w:rFonts w:eastAsia="Arimo"/>
                <w:szCs w:val="20"/>
              </w:rPr>
              <w:id w:val="-2070722248"/>
              <w14:checkbox>
                <w14:checked w14:val="0"/>
                <w14:checkedState w14:val="2612" w14:font="MS Gothic"/>
                <w14:uncheckedState w14:val="2610" w14:font="MS Gothic"/>
              </w14:checkbox>
            </w:sdtPr>
            <w:sdtEndPr/>
            <w:sdtContent>
              <w:p w14:paraId="0E565408" w14:textId="3B338CDF" w:rsidR="00CE7E17" w:rsidRPr="004D0354" w:rsidRDefault="00CE7E17" w:rsidP="00DF7172">
                <w:pPr>
                  <w:keepLines/>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84D8CD4" w14:textId="77777777" w:rsidR="00CE7E17" w:rsidRDefault="00CE7E17" w:rsidP="00DF7172">
            <w:pPr>
              <w:jc w:val="both"/>
              <w:rPr>
                <w:szCs w:val="20"/>
              </w:rPr>
            </w:pPr>
            <w:r>
              <w:t>Bueno</w:t>
            </w:r>
          </w:p>
          <w:sdt>
            <w:sdtPr>
              <w:rPr>
                <w:rFonts w:eastAsia="Arimo"/>
                <w:szCs w:val="20"/>
              </w:rPr>
              <w:id w:val="1095826840"/>
              <w14:checkbox>
                <w14:checked w14:val="0"/>
                <w14:checkedState w14:val="2612" w14:font="MS Gothic"/>
                <w14:uncheckedState w14:val="2610" w14:font="MS Gothic"/>
              </w14:checkbox>
            </w:sdtPr>
            <w:sdtEndPr/>
            <w:sdtContent>
              <w:p w14:paraId="29152368" w14:textId="3220947B" w:rsidR="00CE7E17" w:rsidRPr="004D0354" w:rsidRDefault="00CE7E17" w:rsidP="00DF7172">
                <w:pPr>
                  <w:keepLines/>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7F286D" w14:textId="77777777" w:rsidR="00CE7E17" w:rsidRDefault="00CE7E17" w:rsidP="00DF7172">
            <w:pPr>
              <w:jc w:val="both"/>
              <w:rPr>
                <w:szCs w:val="20"/>
              </w:rPr>
            </w:pPr>
            <w:r>
              <w:t>Muy bueno</w:t>
            </w:r>
          </w:p>
          <w:sdt>
            <w:sdtPr>
              <w:rPr>
                <w:rFonts w:eastAsia="Arimo"/>
                <w:szCs w:val="20"/>
              </w:rPr>
              <w:id w:val="246465136"/>
              <w14:checkbox>
                <w14:checked w14:val="0"/>
                <w14:checkedState w14:val="2612" w14:font="MS Gothic"/>
                <w14:uncheckedState w14:val="2610" w14:font="MS Gothic"/>
              </w14:checkbox>
            </w:sdtPr>
            <w:sdtEndPr/>
            <w:sdtContent>
              <w:p w14:paraId="212F8F50" w14:textId="1F3EDF3A" w:rsidR="00CE7E17" w:rsidRPr="004D0354" w:rsidRDefault="00CE7E17" w:rsidP="00DF7172">
                <w:pPr>
                  <w:keepLines/>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423A77E"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282337906"/>
              <w14:checkbox>
                <w14:checked w14:val="0"/>
                <w14:checkedState w14:val="2612" w14:font="MS Gothic"/>
                <w14:uncheckedState w14:val="2610" w14:font="MS Gothic"/>
              </w14:checkbox>
            </w:sdtPr>
            <w:sdtEndPr/>
            <w:sdtContent>
              <w:p w14:paraId="7D4E26D2" w14:textId="16DD803E" w:rsidR="00CE7E17" w:rsidRPr="004D0354" w:rsidRDefault="00CE7E17" w:rsidP="00DF7172">
                <w:pPr>
                  <w:keepLines/>
                  <w:jc w:val="both"/>
                  <w:rPr>
                    <w:rFonts w:cs="Arial"/>
                    <w:szCs w:val="20"/>
                  </w:rPr>
                </w:pPr>
                <w:r w:rsidRPr="004D0354">
                  <w:rPr>
                    <w:rFonts w:ascii="MS Gothic" w:eastAsia="MS Gothic" w:hAnsi="MS Gothic" w:cs="Arial"/>
                    <w:szCs w:val="20"/>
                  </w:rPr>
                  <w:t>☐</w:t>
                </w:r>
              </w:p>
            </w:sdtContent>
          </w:sdt>
        </w:tc>
      </w:tr>
      <w:tr w:rsidR="00CE7E17" w:rsidRPr="00DF7172" w14:paraId="5578B107" w14:textId="77777777" w:rsidTr="007E7F5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D7A8D" w14:textId="77777777" w:rsidR="00CE7E17" w:rsidRDefault="00CE7E17" w:rsidP="00DF7172">
            <w:pPr>
              <w:jc w:val="both"/>
              <w:rPr>
                <w:color w:val="005F9A"/>
                <w:szCs w:val="20"/>
                <w:lang w:val="es-AR"/>
              </w:rPr>
            </w:pPr>
            <w:r>
              <w:rPr>
                <w:color w:val="005F9A"/>
                <w:lang w:val="es-AR"/>
              </w:rPr>
              <w:t>Evidencia para este criterio de evaluación:</w:t>
            </w:r>
          </w:p>
          <w:p w14:paraId="30A35D9F" w14:textId="77777777" w:rsidR="00CE7E17" w:rsidRPr="00C36134" w:rsidRDefault="00CE7E17" w:rsidP="00DF7172">
            <w:pPr>
              <w:jc w:val="both"/>
              <w:rPr>
                <w:color w:val="0000FF"/>
                <w:szCs w:val="20"/>
                <w:lang w:val="es-AR"/>
              </w:rPr>
            </w:pPr>
          </w:p>
          <w:p w14:paraId="35B0AA0E" w14:textId="77777777" w:rsidR="00CE7E17" w:rsidRPr="00656F7F" w:rsidRDefault="00CE7E17" w:rsidP="00DF7172">
            <w:pPr>
              <w:keepLines/>
              <w:jc w:val="both"/>
              <w:rPr>
                <w:rFonts w:cs="Arial"/>
                <w:color w:val="0000FF"/>
                <w:sz w:val="18"/>
                <w:szCs w:val="18"/>
                <w:lang w:val="es-AR"/>
              </w:rPr>
            </w:pPr>
          </w:p>
        </w:tc>
      </w:tr>
    </w:tbl>
    <w:p w14:paraId="4DBE0E72" w14:textId="1A04BC7A" w:rsidR="00295648" w:rsidRPr="00DF7172" w:rsidRDefault="00CE4737" w:rsidP="00DF7172">
      <w:pPr>
        <w:pStyle w:val="Heading4"/>
        <w:jc w:val="both"/>
        <w:rPr>
          <w:lang w:val="es-US"/>
        </w:rPr>
      </w:pPr>
      <w:r w:rsidRPr="00DF7172">
        <w:rPr>
          <w:lang w:val="es-US"/>
        </w:rPr>
        <w:t xml:space="preserve">Criterio de evaluación </w:t>
      </w:r>
      <w:r w:rsidR="00295648" w:rsidRPr="00DF7172">
        <w:rPr>
          <w:lang w:val="es-US"/>
        </w:rPr>
        <w:t>4: Pr</w:t>
      </w:r>
      <w:r w:rsidR="003E4A4D" w:rsidRPr="00DF7172">
        <w:rPr>
          <w:lang w:val="es-US"/>
        </w:rPr>
        <w:t>áctica</w:t>
      </w:r>
    </w:p>
    <w:p w14:paraId="28C45A00" w14:textId="13483C17" w:rsidR="00CE7E17" w:rsidRPr="00E158AE" w:rsidRDefault="00E158AE" w:rsidP="00DF7172">
      <w:pPr>
        <w:spacing w:after="120"/>
        <w:jc w:val="both"/>
        <w:rPr>
          <w:lang w:val="es-AR"/>
        </w:rPr>
      </w:pPr>
      <w:r w:rsidRPr="00E158AE">
        <w:rPr>
          <w:lang w:val="es-AR"/>
        </w:rPr>
        <w:t>En la práctica</w:t>
      </w:r>
      <w:r w:rsidR="00FF417F" w:rsidRPr="00E158AE">
        <w:rPr>
          <w:lang w:val="es-AR"/>
        </w:rPr>
        <w:t>,</w:t>
      </w:r>
      <w:r w:rsidRPr="00E158AE">
        <w:rPr>
          <w:lang w:val="es-AR"/>
        </w:rPr>
        <w:t xml:space="preserve"> el Parlamento analiza rutinariamente las evaluaciones de impacto provistas por el Ejecutivo, lleva a cabo o encarga sus propias evaluaciones de impacto, y usa los distintos hallazgos e informes derivados como insumo para </w:t>
      </w:r>
      <w:r>
        <w:rPr>
          <w:lang w:val="es-AR"/>
        </w:rPr>
        <w:t xml:space="preserve">orientar </w:t>
      </w:r>
      <w:r w:rsidRPr="00E158AE">
        <w:rPr>
          <w:lang w:val="es-AR"/>
        </w:rPr>
        <w:t>su propio trabajo.</w:t>
      </w:r>
      <w:r>
        <w:rPr>
          <w:lang w:val="es-AR"/>
        </w:rPr>
        <w:t xml:space="preserve"> </w:t>
      </w:r>
    </w:p>
    <w:tbl>
      <w:tblPr>
        <w:tblW w:w="4976" w:type="pct"/>
        <w:tblInd w:w="20" w:type="dxa"/>
        <w:tblCellMar>
          <w:left w:w="115" w:type="dxa"/>
          <w:right w:w="115" w:type="dxa"/>
        </w:tblCellMar>
        <w:tblLook w:val="0400" w:firstRow="0" w:lastRow="0" w:firstColumn="0" w:lastColumn="0" w:noHBand="0" w:noVBand="1"/>
      </w:tblPr>
      <w:tblGrid>
        <w:gridCol w:w="1455"/>
        <w:gridCol w:w="1456"/>
        <w:gridCol w:w="1456"/>
        <w:gridCol w:w="1456"/>
        <w:gridCol w:w="1456"/>
        <w:gridCol w:w="1459"/>
      </w:tblGrid>
      <w:tr w:rsidR="00CE7E17" w:rsidRPr="004D0354" w14:paraId="1D41E39D"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8F6AF5D" w14:textId="77777777" w:rsidR="00CE7E17" w:rsidRDefault="00CE7E17" w:rsidP="00DF7172">
            <w:pPr>
              <w:jc w:val="both"/>
              <w:rPr>
                <w:szCs w:val="20"/>
              </w:rPr>
            </w:pPr>
            <w:r>
              <w:t>Inexistente</w:t>
            </w:r>
          </w:p>
          <w:sdt>
            <w:sdtPr>
              <w:rPr>
                <w:rFonts w:eastAsia="Arimo"/>
                <w:szCs w:val="20"/>
              </w:rPr>
              <w:id w:val="1469162146"/>
              <w14:checkbox>
                <w14:checked w14:val="0"/>
                <w14:checkedState w14:val="2612" w14:font="MS Gothic"/>
                <w14:uncheckedState w14:val="2610" w14:font="MS Gothic"/>
              </w14:checkbox>
            </w:sdtPr>
            <w:sdtEndPr/>
            <w:sdtContent>
              <w:p w14:paraId="7EF97511" w14:textId="2AB283AA"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2EEE789" w14:textId="77777777" w:rsidR="00CE7E17" w:rsidRDefault="00CE7E17" w:rsidP="00DF7172">
            <w:pPr>
              <w:jc w:val="both"/>
              <w:rPr>
                <w:szCs w:val="20"/>
              </w:rPr>
            </w:pPr>
            <w:r>
              <w:t>Rudimentario</w:t>
            </w:r>
          </w:p>
          <w:sdt>
            <w:sdtPr>
              <w:rPr>
                <w:rFonts w:eastAsia="Arimo"/>
                <w:szCs w:val="20"/>
              </w:rPr>
              <w:id w:val="-1859493751"/>
              <w14:checkbox>
                <w14:checked w14:val="0"/>
                <w14:checkedState w14:val="2612" w14:font="MS Gothic"/>
                <w14:uncheckedState w14:val="2610" w14:font="MS Gothic"/>
              </w14:checkbox>
            </w:sdtPr>
            <w:sdtEndPr/>
            <w:sdtContent>
              <w:p w14:paraId="67EF26BD" w14:textId="1235445F"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5F5F63" w14:textId="77777777" w:rsidR="00CE7E17" w:rsidRDefault="00CE7E17" w:rsidP="00DF7172">
            <w:pPr>
              <w:jc w:val="both"/>
              <w:rPr>
                <w:szCs w:val="20"/>
              </w:rPr>
            </w:pPr>
            <w:r>
              <w:t>Básico</w:t>
            </w:r>
          </w:p>
          <w:sdt>
            <w:sdtPr>
              <w:rPr>
                <w:rFonts w:eastAsia="Arimo"/>
                <w:szCs w:val="20"/>
              </w:rPr>
              <w:id w:val="-1043976939"/>
              <w14:checkbox>
                <w14:checked w14:val="0"/>
                <w14:checkedState w14:val="2612" w14:font="MS Gothic"/>
                <w14:uncheckedState w14:val="2610" w14:font="MS Gothic"/>
              </w14:checkbox>
            </w:sdtPr>
            <w:sdtEndPr/>
            <w:sdtContent>
              <w:p w14:paraId="1B165F2A" w14:textId="5EDB2457"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0DB1B7" w14:textId="77777777" w:rsidR="00CE7E17" w:rsidRDefault="00CE7E17" w:rsidP="00DF7172">
            <w:pPr>
              <w:jc w:val="both"/>
              <w:rPr>
                <w:szCs w:val="20"/>
              </w:rPr>
            </w:pPr>
            <w:r>
              <w:t>Bueno</w:t>
            </w:r>
          </w:p>
          <w:sdt>
            <w:sdtPr>
              <w:rPr>
                <w:rFonts w:eastAsia="Arimo"/>
                <w:szCs w:val="20"/>
              </w:rPr>
              <w:id w:val="-760295058"/>
              <w14:checkbox>
                <w14:checked w14:val="0"/>
                <w14:checkedState w14:val="2612" w14:font="MS Gothic"/>
                <w14:uncheckedState w14:val="2610" w14:font="MS Gothic"/>
              </w14:checkbox>
            </w:sdtPr>
            <w:sdtEndPr/>
            <w:sdtContent>
              <w:p w14:paraId="6D992DE8" w14:textId="7B67B27D"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87B4B7" w14:textId="77777777" w:rsidR="00CE7E17" w:rsidRDefault="00CE7E17" w:rsidP="00DF7172">
            <w:pPr>
              <w:jc w:val="both"/>
              <w:rPr>
                <w:szCs w:val="20"/>
              </w:rPr>
            </w:pPr>
            <w:r>
              <w:t>Muy bueno</w:t>
            </w:r>
          </w:p>
          <w:sdt>
            <w:sdtPr>
              <w:rPr>
                <w:rFonts w:eastAsia="Arimo"/>
                <w:szCs w:val="20"/>
              </w:rPr>
              <w:id w:val="-999026693"/>
              <w14:checkbox>
                <w14:checked w14:val="0"/>
                <w14:checkedState w14:val="2612" w14:font="MS Gothic"/>
                <w14:uncheckedState w14:val="2610" w14:font="MS Gothic"/>
              </w14:checkbox>
            </w:sdtPr>
            <w:sdtEndPr/>
            <w:sdtContent>
              <w:p w14:paraId="441B48E7" w14:textId="392CCA51"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0457092"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308516780"/>
              <w14:checkbox>
                <w14:checked w14:val="0"/>
                <w14:checkedState w14:val="2612" w14:font="MS Gothic"/>
                <w14:uncheckedState w14:val="2610" w14:font="MS Gothic"/>
              </w14:checkbox>
            </w:sdtPr>
            <w:sdtEndPr/>
            <w:sdtContent>
              <w:p w14:paraId="5B105962" w14:textId="12FC65C9"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6B946C69"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99434" w14:textId="77777777" w:rsidR="00CE7E17" w:rsidRDefault="00CE7E17" w:rsidP="00DF7172">
            <w:pPr>
              <w:jc w:val="both"/>
              <w:rPr>
                <w:color w:val="005F9A"/>
                <w:szCs w:val="20"/>
                <w:lang w:val="es-AR"/>
              </w:rPr>
            </w:pPr>
            <w:r>
              <w:rPr>
                <w:color w:val="005F9A"/>
                <w:lang w:val="es-AR"/>
              </w:rPr>
              <w:t>Evidencia para este criterio de evaluación:</w:t>
            </w:r>
          </w:p>
          <w:p w14:paraId="711773F7" w14:textId="77777777" w:rsidR="00CE7E17" w:rsidRPr="00C36134" w:rsidRDefault="00CE7E17" w:rsidP="00DF7172">
            <w:pPr>
              <w:jc w:val="both"/>
              <w:rPr>
                <w:color w:val="0000FF"/>
                <w:szCs w:val="20"/>
                <w:lang w:val="es-AR"/>
              </w:rPr>
            </w:pPr>
          </w:p>
          <w:p w14:paraId="64F379CC" w14:textId="77777777" w:rsidR="00CE7E17" w:rsidRPr="00656F7F" w:rsidRDefault="00CE7E17" w:rsidP="00DF7172">
            <w:pPr>
              <w:spacing w:line="276" w:lineRule="auto"/>
              <w:jc w:val="both"/>
              <w:rPr>
                <w:rFonts w:cs="Arial"/>
                <w:color w:val="0000FF"/>
                <w:sz w:val="18"/>
                <w:szCs w:val="18"/>
                <w:lang w:val="es-AR"/>
              </w:rPr>
            </w:pPr>
          </w:p>
        </w:tc>
      </w:tr>
    </w:tbl>
    <w:p w14:paraId="7CAEB640" w14:textId="77777777" w:rsidR="00CE4737" w:rsidRPr="00383F06" w:rsidRDefault="00CE4737" w:rsidP="00DF7172">
      <w:pPr>
        <w:pStyle w:val="section-title"/>
        <w:jc w:val="both"/>
      </w:pPr>
      <w:r>
        <w:lastRenderedPageBreak/>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8780"/>
      </w:tblGrid>
      <w:tr w:rsidR="00C06467" w:rsidRPr="00DF7172" w14:paraId="188D0430" w14:textId="77777777" w:rsidTr="00F145EE">
        <w:trPr>
          <w:trHeight w:hRule="exact" w:val="1440"/>
        </w:trPr>
        <w:tc>
          <w:tcPr>
            <w:tcW w:w="5000" w:type="pct"/>
          </w:tcPr>
          <w:p w14:paraId="6E747904" w14:textId="77777777" w:rsidR="00EA4E25" w:rsidRDefault="00EA4E25"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64B5410A" w14:textId="4ECB75D6" w:rsidR="00C06467" w:rsidRPr="00656F7F" w:rsidRDefault="00C06467" w:rsidP="00DF7172">
            <w:pPr>
              <w:jc w:val="both"/>
              <w:rPr>
                <w:i/>
                <w:szCs w:val="20"/>
                <w:lang w:val="es-AR"/>
              </w:rPr>
            </w:pPr>
          </w:p>
        </w:tc>
      </w:tr>
    </w:tbl>
    <w:p w14:paraId="42C8E8B8" w14:textId="23DAE821" w:rsidR="002C46B2" w:rsidRPr="004D0354" w:rsidRDefault="007E5D1E" w:rsidP="00DF7172">
      <w:pPr>
        <w:pStyle w:val="section-title"/>
        <w:jc w:val="both"/>
        <w:rPr>
          <w:sz w:val="20"/>
        </w:rPr>
      </w:pPr>
      <w:r w:rsidRPr="004D0354">
        <w:t xml:space="preserve">Sources </w:t>
      </w:r>
      <w:r w:rsidR="009A142C" w:rsidRPr="004D0354">
        <w:t xml:space="preserve">and </w:t>
      </w:r>
      <w:r w:rsidRPr="004D0354">
        <w:t>further reading</w:t>
      </w:r>
    </w:p>
    <w:p w14:paraId="7661860E" w14:textId="68153A11" w:rsidR="00295648" w:rsidRPr="004D0354" w:rsidRDefault="00295648" w:rsidP="00DF7172">
      <w:pPr>
        <w:numPr>
          <w:ilvl w:val="0"/>
          <w:numId w:val="17"/>
        </w:numPr>
        <w:pBdr>
          <w:top w:val="nil"/>
          <w:left w:val="nil"/>
          <w:bottom w:val="nil"/>
          <w:right w:val="nil"/>
          <w:between w:val="nil"/>
        </w:pBdr>
        <w:ind w:left="562" w:hanging="562"/>
        <w:jc w:val="both"/>
        <w:rPr>
          <w:rFonts w:eastAsia="Arial" w:cs="Arial"/>
          <w:color w:val="000000"/>
          <w:szCs w:val="20"/>
        </w:rPr>
      </w:pPr>
      <w:r w:rsidRPr="004D0354">
        <w:rPr>
          <w:color w:val="000000"/>
        </w:rPr>
        <w:t>Patricia Popelier</w:t>
      </w:r>
      <w:r w:rsidR="00115D90" w:rsidRPr="004D0354">
        <w:rPr>
          <w:color w:val="000000"/>
        </w:rPr>
        <w:t>,</w:t>
      </w:r>
      <w:r w:rsidR="00984A0B" w:rsidRPr="004D0354">
        <w:rPr>
          <w:color w:val="000000"/>
        </w:rPr>
        <w:t xml:space="preserve"> </w:t>
      </w:r>
      <w:hyperlink r:id="rId18">
        <w:r w:rsidR="00984A0B" w:rsidRPr="004D0354">
          <w:rPr>
            <w:i/>
            <w:color w:val="0563C1"/>
            <w:u w:val="single"/>
          </w:rPr>
          <w:t>A legal perspective on Regulatory Impact Assessments</w:t>
        </w:r>
      </w:hyperlink>
      <w:r w:rsidR="00984A0B" w:rsidRPr="004D0354">
        <w:rPr>
          <w:color w:val="000000"/>
        </w:rPr>
        <w:t xml:space="preserve"> (2017)</w:t>
      </w:r>
      <w:r w:rsidR="00115D90" w:rsidRPr="004D0354">
        <w:rPr>
          <w:color w:val="000000"/>
        </w:rPr>
        <w:t>.</w:t>
      </w:r>
    </w:p>
    <w:p w14:paraId="1660AB1E" w14:textId="11618CC6" w:rsidR="00295648" w:rsidRPr="004D0354" w:rsidRDefault="00295648" w:rsidP="00DF7172">
      <w:pPr>
        <w:numPr>
          <w:ilvl w:val="0"/>
          <w:numId w:val="17"/>
        </w:numPr>
        <w:pBdr>
          <w:top w:val="nil"/>
          <w:left w:val="nil"/>
          <w:bottom w:val="nil"/>
          <w:right w:val="nil"/>
          <w:between w:val="nil"/>
        </w:pBdr>
        <w:ind w:left="562" w:hanging="562"/>
        <w:jc w:val="both"/>
        <w:rPr>
          <w:rFonts w:eastAsia="Arial" w:cs="Arial"/>
          <w:color w:val="000000"/>
          <w:szCs w:val="20"/>
        </w:rPr>
      </w:pPr>
      <w:r w:rsidRPr="004D0354">
        <w:rPr>
          <w:color w:val="000000"/>
        </w:rPr>
        <w:t>Irish Vocational Education Association</w:t>
      </w:r>
      <w:r w:rsidR="00115D90" w:rsidRPr="004D0354">
        <w:rPr>
          <w:color w:val="000000"/>
        </w:rPr>
        <w:t xml:space="preserve"> (IVEA) and The Equality Authority</w:t>
      </w:r>
      <w:r w:rsidRPr="004D0354">
        <w:rPr>
          <w:color w:val="000000"/>
        </w:rPr>
        <w:t xml:space="preserve">, </w:t>
      </w:r>
      <w:hyperlink r:id="rId19">
        <w:r w:rsidRPr="004D0354">
          <w:rPr>
            <w:i/>
            <w:color w:val="0563C1"/>
            <w:u w:val="single"/>
          </w:rPr>
          <w:t>Guidelines for conducting equality impact assessments on IVEA and VEC plans, policies and programmes</w:t>
        </w:r>
      </w:hyperlink>
      <w:r w:rsidRPr="004D0354">
        <w:rPr>
          <w:color w:val="000000"/>
        </w:rPr>
        <w:t xml:space="preserve"> (2007).</w:t>
      </w:r>
    </w:p>
    <w:p w14:paraId="15916442" w14:textId="77777777" w:rsidR="00295648" w:rsidRPr="004D0354" w:rsidRDefault="00295648" w:rsidP="00DF7172">
      <w:pPr>
        <w:spacing w:line="276" w:lineRule="auto"/>
        <w:jc w:val="both"/>
        <w:rPr>
          <w:rFonts w:eastAsia="Arial" w:cs="Arial"/>
          <w:color w:val="000000"/>
          <w:szCs w:val="20"/>
          <w:lang w:eastAsia="en-GB"/>
        </w:rPr>
      </w:pPr>
    </w:p>
    <w:p w14:paraId="05C000F6" w14:textId="77777777" w:rsidR="00295648" w:rsidRPr="004D0354" w:rsidRDefault="00295648" w:rsidP="00DF7172">
      <w:pPr>
        <w:spacing w:line="276" w:lineRule="auto"/>
        <w:jc w:val="both"/>
        <w:rPr>
          <w:rFonts w:eastAsia="Arial" w:cs="Arial"/>
          <w:color w:val="000000"/>
          <w:szCs w:val="20"/>
          <w:lang w:eastAsia="en-GB"/>
        </w:rPr>
      </w:pPr>
    </w:p>
    <w:p w14:paraId="31F18DB2" w14:textId="77777777" w:rsidR="00295648" w:rsidRPr="004D0354" w:rsidRDefault="00295648" w:rsidP="00DF7172">
      <w:pPr>
        <w:spacing w:line="276" w:lineRule="auto"/>
        <w:jc w:val="both"/>
        <w:rPr>
          <w:rFonts w:eastAsia="Arial" w:cs="Arial"/>
          <w:color w:val="000000"/>
          <w:szCs w:val="20"/>
          <w:lang w:eastAsia="en-GB"/>
        </w:rPr>
      </w:pPr>
    </w:p>
    <w:p w14:paraId="1AD5C593" w14:textId="77777777" w:rsidR="00295648" w:rsidRPr="004D0354" w:rsidRDefault="00295648" w:rsidP="00DF7172">
      <w:pPr>
        <w:spacing w:line="276" w:lineRule="auto"/>
        <w:jc w:val="both"/>
        <w:rPr>
          <w:rFonts w:eastAsia="Arial" w:cs="Arial"/>
          <w:color w:val="000000"/>
          <w:szCs w:val="20"/>
          <w:lang w:eastAsia="en-GB"/>
        </w:rPr>
      </w:pPr>
    </w:p>
    <w:p w14:paraId="16095F10" w14:textId="77777777" w:rsidR="00295648" w:rsidRPr="004D0354" w:rsidRDefault="00295648" w:rsidP="00DF7172">
      <w:pPr>
        <w:spacing w:line="276" w:lineRule="auto"/>
        <w:jc w:val="both"/>
        <w:rPr>
          <w:rFonts w:eastAsia="Arial" w:cs="Arial"/>
          <w:color w:val="000000"/>
          <w:szCs w:val="20"/>
          <w:lang w:eastAsia="en-GB"/>
        </w:rPr>
      </w:pPr>
    </w:p>
    <w:p w14:paraId="4EDC91D8" w14:textId="77777777" w:rsidR="00575CC0" w:rsidRDefault="00575CC0" w:rsidP="00DF7172">
      <w:pPr>
        <w:jc w:val="both"/>
        <w:rPr>
          <w:rFonts w:eastAsia="Arial" w:cs="Arial"/>
          <w:color w:val="000000"/>
          <w:szCs w:val="20"/>
          <w:lang w:eastAsia="en-GB"/>
        </w:rPr>
      </w:pPr>
      <w:r>
        <w:rPr>
          <w:b/>
          <w:color w:val="000000"/>
          <w:szCs w:val="20"/>
          <w:lang w:eastAsia="en-GB"/>
        </w:rPr>
        <w:br w:type="page"/>
      </w:r>
    </w:p>
    <w:p w14:paraId="5F601903" w14:textId="37617419" w:rsidR="00295648" w:rsidRPr="00656F7F" w:rsidRDefault="007E5D1E" w:rsidP="00DF7172">
      <w:pPr>
        <w:pStyle w:val="Dimension"/>
        <w:rPr>
          <w:lang w:val="es-AR"/>
        </w:rPr>
      </w:pPr>
      <w:r w:rsidRPr="00656F7F">
        <w:rPr>
          <w:lang w:val="es-AR"/>
        </w:rPr>
        <w:lastRenderedPageBreak/>
        <w:t>Dimensi</w:t>
      </w:r>
      <w:r w:rsidR="00CE4737" w:rsidRPr="00656F7F">
        <w:rPr>
          <w:lang w:val="es-AR"/>
        </w:rPr>
        <w:t>ó</w:t>
      </w:r>
      <w:r w:rsidRPr="00656F7F">
        <w:rPr>
          <w:lang w:val="es-AR"/>
        </w:rPr>
        <w:t xml:space="preserve">n 5.1.3: </w:t>
      </w:r>
      <w:r w:rsidR="00CE4737" w:rsidRPr="00656F7F">
        <w:rPr>
          <w:lang w:val="es-AR"/>
        </w:rPr>
        <w:t>Integración de la perspectiva de género</w:t>
      </w:r>
    </w:p>
    <w:tbl>
      <w:tblPr>
        <w:tblStyle w:val="TableGrid"/>
        <w:tblW w:w="0" w:type="auto"/>
        <w:shd w:val="clear" w:color="auto" w:fill="EEEEEE"/>
        <w:tblLook w:val="04A0" w:firstRow="1" w:lastRow="0" w:firstColumn="1" w:lastColumn="0" w:noHBand="0" w:noVBand="1"/>
      </w:tblPr>
      <w:tblGrid>
        <w:gridCol w:w="8780"/>
      </w:tblGrid>
      <w:tr w:rsidR="00D90297" w:rsidRPr="004D0354" w14:paraId="672ABBCA" w14:textId="77777777" w:rsidTr="00580D1B">
        <w:tc>
          <w:tcPr>
            <w:tcW w:w="8780" w:type="dxa"/>
            <w:shd w:val="clear" w:color="auto" w:fill="EEEEEE"/>
          </w:tcPr>
          <w:p w14:paraId="799E2890" w14:textId="77777777" w:rsidR="00CE4737" w:rsidRPr="00656F7F" w:rsidRDefault="00CE4737" w:rsidP="00DF7172">
            <w:pPr>
              <w:jc w:val="both"/>
              <w:rPr>
                <w:rFonts w:eastAsia="Arial" w:cs="Arial"/>
                <w:szCs w:val="20"/>
                <w:lang w:val="es-AR"/>
              </w:rPr>
            </w:pPr>
            <w:r w:rsidRPr="00656F7F">
              <w:rPr>
                <w:lang w:val="es-AR"/>
              </w:rPr>
              <w:t>Esta dimensión es parte de:</w:t>
            </w:r>
          </w:p>
          <w:p w14:paraId="43871B17" w14:textId="2C99AEB2" w:rsidR="00CE4737" w:rsidRPr="00656F7F" w:rsidRDefault="00CE4737" w:rsidP="00DF7172">
            <w:pPr>
              <w:pStyle w:val="ListParagraph"/>
              <w:jc w:val="both"/>
              <w:rPr>
                <w:lang w:val="es-AR"/>
              </w:rPr>
            </w:pPr>
            <w:r w:rsidRPr="00656F7F">
              <w:rPr>
                <w:lang w:val="es-AR"/>
              </w:rPr>
              <w:t xml:space="preserve">Indicador 5.1: Elaboración de leyes, </w:t>
            </w:r>
            <w:r w:rsidR="00431667" w:rsidRPr="00656F7F">
              <w:rPr>
                <w:lang w:val="es-AR"/>
              </w:rPr>
              <w:t>supervisión</w:t>
            </w:r>
            <w:r w:rsidRPr="00656F7F">
              <w:rPr>
                <w:lang w:val="es-AR"/>
              </w:rPr>
              <w:t xml:space="preserve"> y diseño presupuestario inclusivos</w:t>
            </w:r>
          </w:p>
          <w:p w14:paraId="5566E34C" w14:textId="4EE3B834" w:rsidR="00D90297" w:rsidRPr="004D0354" w:rsidRDefault="00CE4737" w:rsidP="00DF7172">
            <w:pPr>
              <w:pStyle w:val="ListParagraph"/>
              <w:jc w:val="both"/>
              <w:rPr>
                <w:sz w:val="24"/>
                <w:szCs w:val="20"/>
              </w:rPr>
            </w:pPr>
            <w:r>
              <w:t xml:space="preserve">Meta 5: </w:t>
            </w:r>
            <w:r w:rsidR="00DF7172">
              <w:t>Parlamentos i</w:t>
            </w:r>
            <w:r w:rsidR="00DF7172" w:rsidRPr="004D0354">
              <w:t>nclusiv</w:t>
            </w:r>
            <w:r w:rsidR="00DF7172">
              <w:t>os</w:t>
            </w:r>
          </w:p>
        </w:tc>
      </w:tr>
    </w:tbl>
    <w:p w14:paraId="218FB301" w14:textId="77777777" w:rsidR="00580D1B" w:rsidRPr="001335DD" w:rsidRDefault="00580D1B" w:rsidP="00DF7172">
      <w:pPr>
        <w:pStyle w:val="section-title"/>
        <w:jc w:val="both"/>
      </w:pPr>
      <w:r>
        <w:t>Acerca de esta dimensión</w:t>
      </w:r>
    </w:p>
    <w:p w14:paraId="33EAF5F2" w14:textId="60252E0B" w:rsidR="009866A7" w:rsidRPr="00431667" w:rsidRDefault="00431667" w:rsidP="00DF7172">
      <w:pPr>
        <w:jc w:val="both"/>
        <w:rPr>
          <w:color w:val="000000"/>
          <w:lang w:val="es-AR"/>
        </w:rPr>
      </w:pPr>
      <w:r w:rsidRPr="00431667">
        <w:rPr>
          <w:lang w:val="es-AR"/>
        </w:rPr>
        <w:t>Esta dimensión refiere a los mecanismos por los cuales se integran las preocupaciones de género a lo largo de los procesos y productos parlamentarios, con el propósito de alcanzar la igualdad de g</w:t>
      </w:r>
      <w:r>
        <w:rPr>
          <w:lang w:val="es-AR"/>
        </w:rPr>
        <w:t xml:space="preserve">énero y prevenir la discriminación por motivos de género. </w:t>
      </w:r>
    </w:p>
    <w:p w14:paraId="76F7CBFA" w14:textId="77777777" w:rsidR="00C62278" w:rsidRPr="00B45878" w:rsidRDefault="00C62278" w:rsidP="00DF7172">
      <w:pPr>
        <w:jc w:val="both"/>
        <w:rPr>
          <w:color w:val="000000"/>
          <w:sz w:val="16"/>
          <w:lang w:val="es-AR"/>
        </w:rPr>
      </w:pPr>
    </w:p>
    <w:p w14:paraId="3D9AEA72" w14:textId="38F71D3F" w:rsidR="009866A7" w:rsidRPr="00C72DEA" w:rsidRDefault="00431667" w:rsidP="00DF7172">
      <w:pPr>
        <w:jc w:val="both"/>
        <w:rPr>
          <w:color w:val="000000"/>
          <w:lang w:val="es-AR"/>
        </w:rPr>
      </w:pPr>
      <w:r w:rsidRPr="00431667">
        <w:rPr>
          <w:color w:val="000000"/>
          <w:lang w:val="es-AR"/>
        </w:rPr>
        <w:t>Los legisladores tienen el deber y el poder para garantizar que el marco legal nacional sea c</w:t>
      </w:r>
      <w:r>
        <w:rPr>
          <w:color w:val="000000"/>
          <w:lang w:val="es-AR"/>
        </w:rPr>
        <w:t>oherent</w:t>
      </w:r>
      <w:r w:rsidRPr="00431667">
        <w:rPr>
          <w:color w:val="000000"/>
          <w:lang w:val="es-AR"/>
        </w:rPr>
        <w:t>e con los acuerdos internacionales en materia de igualdad de g</w:t>
      </w:r>
      <w:r>
        <w:rPr>
          <w:color w:val="000000"/>
          <w:lang w:val="es-AR"/>
        </w:rPr>
        <w:t xml:space="preserve">énero, en particular la Convención sobre la </w:t>
      </w:r>
      <w:r w:rsidR="00C72DEA">
        <w:rPr>
          <w:color w:val="000000"/>
          <w:lang w:val="es-AR"/>
        </w:rPr>
        <w:t>E</w:t>
      </w:r>
      <w:r>
        <w:rPr>
          <w:color w:val="000000"/>
          <w:lang w:val="es-AR"/>
        </w:rPr>
        <w:t xml:space="preserve">liminación de </w:t>
      </w:r>
      <w:r w:rsidR="00C72DEA">
        <w:rPr>
          <w:color w:val="000000"/>
          <w:lang w:val="es-AR"/>
        </w:rPr>
        <w:t>T</w:t>
      </w:r>
      <w:r>
        <w:rPr>
          <w:color w:val="000000"/>
          <w:lang w:val="es-AR"/>
        </w:rPr>
        <w:t xml:space="preserve">odas las </w:t>
      </w:r>
      <w:r w:rsidR="00C72DEA">
        <w:rPr>
          <w:color w:val="000000"/>
          <w:lang w:val="es-AR"/>
        </w:rPr>
        <w:t>F</w:t>
      </w:r>
      <w:r>
        <w:rPr>
          <w:color w:val="000000"/>
          <w:lang w:val="es-AR"/>
        </w:rPr>
        <w:t>ormas de Discriminación contra la Mujer (</w:t>
      </w:r>
      <w:r w:rsidR="00C72DEA">
        <w:rPr>
          <w:color w:val="000000"/>
          <w:lang w:val="es-AR"/>
        </w:rPr>
        <w:t xml:space="preserve">CEDAW por su sigla en inglés). </w:t>
      </w:r>
      <w:r w:rsidR="009866A7" w:rsidRPr="00C72DEA">
        <w:rPr>
          <w:lang w:val="es-AR"/>
        </w:rPr>
        <w:t>T</w:t>
      </w:r>
      <w:r w:rsidR="00C72DEA" w:rsidRPr="00C72DEA">
        <w:rPr>
          <w:lang w:val="es-AR"/>
        </w:rPr>
        <w:t xml:space="preserve">ambién tienen la responsabilidad de lograr la rendición de cuentas del </w:t>
      </w:r>
      <w:r w:rsidR="00C72DEA">
        <w:rPr>
          <w:lang w:val="es-AR"/>
        </w:rPr>
        <w:t xml:space="preserve">Ejecutivo en cuanto a los avances logrados en la integración de la perspectiva de género en todas las áreas de política pública. </w:t>
      </w:r>
      <w:r w:rsidR="00C72DEA" w:rsidRPr="00C72DEA">
        <w:rPr>
          <w:lang w:val="es-AR"/>
        </w:rPr>
        <w:t>Todos los legisladores –hombres y mujeres—debieran tener el entendimiento, las habilidades e informaci</w:t>
      </w:r>
      <w:r w:rsidR="00C72DEA">
        <w:rPr>
          <w:lang w:val="es-AR"/>
        </w:rPr>
        <w:t>ón necesaria como para utilizar eficazmente los mecanismos parlamentarios para abordar los asuntos relacionados con la igualdad de género.</w:t>
      </w:r>
    </w:p>
    <w:p w14:paraId="111EE432" w14:textId="7B20E7C5" w:rsidR="009866A7" w:rsidRPr="00B45878" w:rsidRDefault="009866A7" w:rsidP="00DF7172">
      <w:pPr>
        <w:jc w:val="both"/>
        <w:rPr>
          <w:color w:val="000000"/>
          <w:sz w:val="16"/>
          <w:lang w:val="es-AR"/>
        </w:rPr>
      </w:pPr>
    </w:p>
    <w:p w14:paraId="2861EEFA" w14:textId="2139F845" w:rsidR="009866A7" w:rsidRPr="00650EB3" w:rsidRDefault="00650EB3" w:rsidP="00DF7172">
      <w:pPr>
        <w:jc w:val="both"/>
        <w:rPr>
          <w:color w:val="000000"/>
          <w:lang w:val="es-AR"/>
        </w:rPr>
      </w:pPr>
      <w:r w:rsidRPr="00650EB3">
        <w:rPr>
          <w:color w:val="000000"/>
          <w:lang w:val="es-AR"/>
        </w:rPr>
        <w:t>Muchos parlamentos han establecido comisiones de igualdad de g</w:t>
      </w:r>
      <w:r>
        <w:rPr>
          <w:color w:val="000000"/>
          <w:lang w:val="es-AR"/>
        </w:rPr>
        <w:t xml:space="preserve">énero u otros órganos dedicados a revisar legislación desde la perspectiva de género. </w:t>
      </w:r>
      <w:r w:rsidRPr="00650EB3">
        <w:rPr>
          <w:color w:val="000000"/>
          <w:lang w:val="es-AR"/>
        </w:rPr>
        <w:t>No obstante, la integración de la perspectiva de género implica que las responsabilidades se comparten entre todas las comisiones parlamentarias, as</w:t>
      </w:r>
      <w:r>
        <w:rPr>
          <w:color w:val="000000"/>
          <w:lang w:val="es-AR"/>
        </w:rPr>
        <w:t xml:space="preserve">í como en los grupos inter-partidarios. </w:t>
      </w:r>
      <w:r w:rsidRPr="00650EB3">
        <w:rPr>
          <w:color w:val="000000"/>
          <w:lang w:val="es-AR"/>
        </w:rPr>
        <w:t>Otros mecanismos para lograr la integración de la perspectiva de g</w:t>
      </w:r>
      <w:r>
        <w:rPr>
          <w:color w:val="000000"/>
          <w:lang w:val="es-AR"/>
        </w:rPr>
        <w:t>énero incluyen los grupos de mujeres parlamentarias, las redes de líderes parlamentarios, auditorías internas de género y unidades de investigación especializadas.</w:t>
      </w:r>
    </w:p>
    <w:p w14:paraId="0E91C6F2" w14:textId="77777777" w:rsidR="009866A7" w:rsidRPr="00B45878" w:rsidRDefault="009866A7" w:rsidP="00DF7172">
      <w:pPr>
        <w:jc w:val="both"/>
        <w:rPr>
          <w:color w:val="000000"/>
          <w:sz w:val="16"/>
          <w:lang w:val="es-AR"/>
        </w:rPr>
      </w:pPr>
    </w:p>
    <w:p w14:paraId="6637CE49" w14:textId="397B12B5" w:rsidR="00D527EE" w:rsidRPr="00DF7172" w:rsidRDefault="00313BC0" w:rsidP="00DF7172">
      <w:pPr>
        <w:jc w:val="both"/>
        <w:rPr>
          <w:color w:val="000000"/>
          <w:lang w:val="es-US"/>
        </w:rPr>
      </w:pPr>
      <w:r w:rsidRPr="00313BC0">
        <w:rPr>
          <w:color w:val="000000"/>
          <w:lang w:val="es-AR"/>
        </w:rPr>
        <w:t>Un Parlamento sensible al género adopta un enfoque estratégico para abordar la cuestión de la integraci</w:t>
      </w:r>
      <w:r>
        <w:rPr>
          <w:color w:val="000000"/>
          <w:lang w:val="es-AR"/>
        </w:rPr>
        <w:t xml:space="preserve">ón de la perspectiva de género, y cuenta con una fuerte capacidad institucional como para incorporar la perspectiva de género en su trabajo. </w:t>
      </w:r>
      <w:r w:rsidRPr="00313BC0">
        <w:rPr>
          <w:color w:val="000000"/>
          <w:lang w:val="es-AR"/>
        </w:rPr>
        <w:t>El Parlamento debiera aspirar a prevenir la discriminación por temas de género en todas sus formas, incluyendo la discriminaci</w:t>
      </w:r>
      <w:r>
        <w:rPr>
          <w:color w:val="000000"/>
          <w:lang w:val="es-AR"/>
        </w:rPr>
        <w:t xml:space="preserve">ón por orientación sexual e identidad o expresión de género. </w:t>
      </w:r>
    </w:p>
    <w:p w14:paraId="27DE4AA4" w14:textId="77777777" w:rsidR="00D527EE" w:rsidRPr="00DF7172" w:rsidRDefault="00D527EE" w:rsidP="00DF7172">
      <w:pPr>
        <w:jc w:val="both"/>
        <w:rPr>
          <w:color w:val="000000"/>
          <w:sz w:val="16"/>
          <w:lang w:val="es-US"/>
        </w:rPr>
      </w:pPr>
    </w:p>
    <w:p w14:paraId="36D0F887" w14:textId="119FC68F" w:rsidR="00D527EE" w:rsidRPr="00185D98" w:rsidRDefault="00313BC0" w:rsidP="00DF7172">
      <w:pPr>
        <w:jc w:val="both"/>
        <w:rPr>
          <w:lang w:val="es-AR"/>
        </w:rPr>
      </w:pPr>
      <w:r w:rsidRPr="00185D98">
        <w:rPr>
          <w:lang w:val="es-AR"/>
        </w:rPr>
        <w:t xml:space="preserve">Para lograr estos objetivos, el Parlamento necesita vinculaciones institucionales con una amplia gama de sectores, incluyendo las organizaciones de la sociedad civil, el sector privado y la academia, y tener un enfoque basado en evidencia, que incluya el uso sistemático de estadísticas de género y datos desagregados por sexo. Cada vez más se utiliza lenguaje sensible al género como estándar en la elaboración de leyes y otras prácticas parlamentarias. </w:t>
      </w:r>
    </w:p>
    <w:p w14:paraId="6272FDB6" w14:textId="431FE18D" w:rsidR="00295648" w:rsidRPr="00CE4737" w:rsidRDefault="00CE4737" w:rsidP="00DF7172">
      <w:pPr>
        <w:pStyle w:val="section-title"/>
        <w:jc w:val="both"/>
      </w:pPr>
      <w: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8780"/>
      </w:tblGrid>
      <w:tr w:rsidR="00295648" w:rsidRPr="003F33A4" w14:paraId="5E92EEBB" w14:textId="77777777" w:rsidTr="000A4BAE">
        <w:trPr>
          <w:trHeight w:val="71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61C3CCEC" w14:textId="6222C97C" w:rsidR="00295648" w:rsidRPr="00B116EB" w:rsidRDefault="00EA4E25" w:rsidP="00DF7172">
            <w:pPr>
              <w:shd w:val="clear" w:color="auto" w:fill="F2F2F2" w:themeFill="background1" w:themeFillShade="F2"/>
              <w:spacing w:after="120"/>
              <w:jc w:val="both"/>
              <w:rPr>
                <w:rFonts w:eastAsia="Arial" w:cs="Arial"/>
                <w:i/>
                <w:szCs w:val="20"/>
                <w:lang w:val="es-AR"/>
              </w:rPr>
            </w:pPr>
            <w:r>
              <w:rPr>
                <w:i/>
                <w:lang w:val="es-AR"/>
              </w:rPr>
              <w:t xml:space="preserve">Basado en un análisis comparativo mundial, un objetivo al que aspiran los parlamentos en el ámbito de la </w:t>
            </w:r>
            <w:r w:rsidR="003641C2" w:rsidRPr="00656F7F">
              <w:rPr>
                <w:i/>
                <w:lang w:val="es-AR"/>
              </w:rPr>
              <w:t>“</w:t>
            </w:r>
            <w:r w:rsidRPr="00656F7F">
              <w:rPr>
                <w:i/>
                <w:lang w:val="es-AR"/>
              </w:rPr>
              <w:t>inte</w:t>
            </w:r>
            <w:r w:rsidR="00295648" w:rsidRPr="00656F7F">
              <w:rPr>
                <w:i/>
                <w:lang w:val="es-AR"/>
              </w:rPr>
              <w:t>g</w:t>
            </w:r>
            <w:r w:rsidRPr="00656F7F">
              <w:rPr>
                <w:i/>
                <w:lang w:val="es-AR"/>
              </w:rPr>
              <w:t>ración de la perspectiva de género” es el siguiente:</w:t>
            </w:r>
          </w:p>
          <w:p w14:paraId="0C95CB2D" w14:textId="6B987921" w:rsidR="00326D5E" w:rsidRPr="00B116EB" w:rsidRDefault="00313BC0" w:rsidP="00DF7172">
            <w:pPr>
              <w:shd w:val="clear" w:color="auto" w:fill="F2F2F2" w:themeFill="background1" w:themeFillShade="F2"/>
              <w:spacing w:after="120"/>
              <w:jc w:val="both"/>
              <w:rPr>
                <w:szCs w:val="20"/>
                <w:lang w:val="es-AR"/>
              </w:rPr>
            </w:pPr>
            <w:r w:rsidRPr="00313BC0">
              <w:rPr>
                <w:lang w:val="es-AR"/>
              </w:rPr>
              <w:t xml:space="preserve">Se manifiesta públicamente un </w:t>
            </w:r>
            <w:r>
              <w:rPr>
                <w:lang w:val="es-AR"/>
              </w:rPr>
              <w:t xml:space="preserve">compromiso </w:t>
            </w:r>
            <w:r w:rsidRPr="00313BC0">
              <w:rPr>
                <w:lang w:val="es-AR"/>
              </w:rPr>
              <w:t>con la integración de la perspectiva de g</w:t>
            </w:r>
            <w:r>
              <w:rPr>
                <w:lang w:val="es-AR"/>
              </w:rPr>
              <w:t xml:space="preserve">énero en las normas parlamentarias, documentos de planificación estratégica y prácticas. </w:t>
            </w:r>
            <w:r w:rsidRPr="00313BC0">
              <w:rPr>
                <w:lang w:val="es-AR"/>
              </w:rPr>
              <w:t>El Parlamento monitorea regularmente e informa sobre su desempeño en la materia.</w:t>
            </w:r>
          </w:p>
          <w:p w14:paraId="3F15045A" w14:textId="536BD415" w:rsidR="00326D5E" w:rsidRPr="00B116EB" w:rsidRDefault="00B116EB" w:rsidP="00DF7172">
            <w:pPr>
              <w:shd w:val="clear" w:color="auto" w:fill="F2F2F2" w:themeFill="background1" w:themeFillShade="F2"/>
              <w:spacing w:after="120"/>
              <w:jc w:val="both"/>
              <w:rPr>
                <w:lang w:val="es-AR"/>
              </w:rPr>
            </w:pPr>
            <w:bookmarkStart w:id="6" w:name="_Hlk145403082"/>
            <w:r w:rsidRPr="00DF7172">
              <w:rPr>
                <w:lang w:val="es-US"/>
              </w:rPr>
              <w:t xml:space="preserve">El Parlamento ha establecido una comisión de igualdad de género u otro órgano especializado con el mandato de examinar legislación y supervisar al Ejecutivo desde una perspectiva de género. </w:t>
            </w:r>
            <w:r w:rsidRPr="00B116EB">
              <w:rPr>
                <w:lang w:val="es-AR"/>
              </w:rPr>
              <w:t xml:space="preserve">Existen mecanismos para apoyar la integración de la perspectiva de género en el trabajo de todas las comisiones parlamentarias. </w:t>
            </w:r>
            <w:bookmarkEnd w:id="6"/>
          </w:p>
          <w:p w14:paraId="2D384103" w14:textId="6AB41573" w:rsidR="00B116EB" w:rsidRPr="00B116EB" w:rsidRDefault="00B116EB" w:rsidP="00DF7172">
            <w:pPr>
              <w:shd w:val="clear" w:color="auto" w:fill="F2F2F2" w:themeFill="background1" w:themeFillShade="F2"/>
              <w:spacing w:after="120"/>
              <w:jc w:val="both"/>
              <w:rPr>
                <w:lang w:val="es-AR"/>
              </w:rPr>
            </w:pPr>
            <w:r w:rsidRPr="00B116EB">
              <w:rPr>
                <w:lang w:val="es-AR"/>
              </w:rPr>
              <w:t xml:space="preserve">Grupos nacionales de mujeres, defensores de los derechos de género, organizaciones de la sociedad civil, el sector privado, la academia y otras fuentes externas con experiencia en el tema son consultados regularmente en el marco del trabajo parlamentario y de las comisiones. </w:t>
            </w:r>
          </w:p>
          <w:p w14:paraId="59663EB8" w14:textId="4A64C7D5" w:rsidR="001460AF" w:rsidRPr="00B116EB" w:rsidRDefault="00B116EB" w:rsidP="00DF7172">
            <w:pPr>
              <w:shd w:val="clear" w:color="auto" w:fill="F2F2F2" w:themeFill="background1" w:themeFillShade="F2"/>
              <w:spacing w:after="120"/>
              <w:jc w:val="both"/>
              <w:rPr>
                <w:lang w:val="es-AR"/>
              </w:rPr>
            </w:pPr>
            <w:r w:rsidRPr="00B116EB">
              <w:rPr>
                <w:lang w:val="es-AR"/>
              </w:rPr>
              <w:t>El Parlamento participa en la preparación y presentación de informes nacionales ante organismos internacionales, incluido el Comité para la Eliminación de la Discriminación contra la Mujer (el comité CEDAW), y realiza deba</w:t>
            </w:r>
            <w:r w:rsidR="00FF3331">
              <w:rPr>
                <w:lang w:val="es-AR"/>
              </w:rPr>
              <w:t xml:space="preserve">tes sobre las recomendaciones que resultan </w:t>
            </w:r>
            <w:r w:rsidRPr="00B116EB">
              <w:rPr>
                <w:lang w:val="es-AR"/>
              </w:rPr>
              <w:t>de los mismos.</w:t>
            </w:r>
          </w:p>
          <w:p w14:paraId="3AFEDDE2" w14:textId="4ACEC0D0" w:rsidR="00E87A61" w:rsidRPr="00B116EB" w:rsidRDefault="00B116EB" w:rsidP="00DF7172">
            <w:pPr>
              <w:shd w:val="clear" w:color="auto" w:fill="F2F2F2" w:themeFill="background1" w:themeFillShade="F2"/>
              <w:jc w:val="both"/>
              <w:rPr>
                <w:lang w:val="es-AR"/>
              </w:rPr>
            </w:pPr>
            <w:r w:rsidRPr="00B116EB">
              <w:rPr>
                <w:lang w:val="es-AR"/>
              </w:rPr>
              <w:lastRenderedPageBreak/>
              <w:t xml:space="preserve">Todos los legisladores </w:t>
            </w:r>
            <w:r w:rsidR="00FF3331">
              <w:rPr>
                <w:lang w:val="es-AR"/>
              </w:rPr>
              <w:t>pueden capacitarse</w:t>
            </w:r>
            <w:r w:rsidRPr="00B116EB">
              <w:rPr>
                <w:lang w:val="es-AR"/>
              </w:rPr>
              <w:t xml:space="preserve"> sobre cuestiones de g</w:t>
            </w:r>
            <w:r w:rsidR="00FF3331">
              <w:rPr>
                <w:lang w:val="es-AR"/>
              </w:rPr>
              <w:t>énero</w:t>
            </w:r>
            <w:r>
              <w:rPr>
                <w:lang w:val="es-AR"/>
              </w:rPr>
              <w:t xml:space="preserve">. </w:t>
            </w:r>
            <w:r w:rsidRPr="00B116EB">
              <w:rPr>
                <w:lang w:val="es-AR"/>
              </w:rPr>
              <w:t>El personal/asesores de investigación y de las comisiones parlamentarias tienen la capacidad de brindar an</w:t>
            </w:r>
            <w:r>
              <w:rPr>
                <w:lang w:val="es-AR"/>
              </w:rPr>
              <w:t>álisis expertos e informes sobre cuestiones de género, incluyendo estadísticas y datos desglosados por sexo.</w:t>
            </w:r>
          </w:p>
        </w:tc>
      </w:tr>
    </w:tbl>
    <w:p w14:paraId="2B83619A" w14:textId="77777777" w:rsidR="00CE4737" w:rsidRPr="00680D03" w:rsidRDefault="00CE4737" w:rsidP="00DF7172">
      <w:pPr>
        <w:pStyle w:val="section-title"/>
        <w:jc w:val="both"/>
      </w:pPr>
      <w:r w:rsidRPr="00680D03">
        <w:lastRenderedPageBreak/>
        <w:t>Evaluación</w:t>
      </w:r>
    </w:p>
    <w:p w14:paraId="426DC387" w14:textId="77777777" w:rsidR="00EF72F2" w:rsidRDefault="00EF72F2"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1833E4B0" w14:textId="3E646F40" w:rsidR="00C06467" w:rsidRPr="007E7F51" w:rsidRDefault="00EF72F2" w:rsidP="00DF7172">
      <w:pPr>
        <w:spacing w:before="120" w:after="120"/>
        <w:jc w:val="both"/>
        <w:rPr>
          <w:lang w:val="es-AR"/>
        </w:rPr>
      </w:pPr>
      <w:r>
        <w:rPr>
          <w:lang w:val="es-AR"/>
        </w:rPr>
        <w:t>La evidencia para la evaluación de esta dimensión podría incluir lo siguiente:</w:t>
      </w:r>
    </w:p>
    <w:p w14:paraId="7BE14DD9" w14:textId="6567E029" w:rsidR="00295648" w:rsidRPr="00FF3331" w:rsidRDefault="00FF3331"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FF3331">
        <w:rPr>
          <w:color w:val="000000"/>
          <w:lang w:val="es-AR"/>
        </w:rPr>
        <w:t>Plan estratégico parlamentario, plan de igualdad de g</w:t>
      </w:r>
      <w:r>
        <w:rPr>
          <w:color w:val="000000"/>
          <w:lang w:val="es-AR"/>
        </w:rPr>
        <w:t>énero, auditorías de género y/o demás planes o documentos de política pública.</w:t>
      </w:r>
    </w:p>
    <w:p w14:paraId="0D748A40" w14:textId="6D1E6240" w:rsidR="00295648" w:rsidRPr="00FF3331" w:rsidRDefault="00FF3331"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FF3331">
        <w:rPr>
          <w:color w:val="000000"/>
          <w:lang w:val="es-AR"/>
        </w:rPr>
        <w:t>Disposiciones del reglamento parlamentario sobre integración de la perspectiva</w:t>
      </w:r>
      <w:r>
        <w:rPr>
          <w:color w:val="000000"/>
          <w:lang w:val="es-AR"/>
        </w:rPr>
        <w:t xml:space="preserve"> de  género. </w:t>
      </w:r>
    </w:p>
    <w:p w14:paraId="4AE87C03" w14:textId="458113A9" w:rsidR="00295648" w:rsidRPr="00B1146A" w:rsidRDefault="00FF3331"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FF3331">
        <w:rPr>
          <w:color w:val="000000"/>
          <w:lang w:val="es-AR"/>
        </w:rPr>
        <w:t>Términos de referencia, estatutos u otros docu</w:t>
      </w:r>
      <w:r>
        <w:rPr>
          <w:color w:val="000000"/>
          <w:lang w:val="es-AR"/>
        </w:rPr>
        <w:t xml:space="preserve">mentos que establecen una comisión de igualdad de género, </w:t>
      </w:r>
      <w:r w:rsidR="00B1146A">
        <w:rPr>
          <w:color w:val="000000"/>
          <w:lang w:val="es-AR"/>
        </w:rPr>
        <w:t>grupos de mujeres u otro cuerpo dedicado al tema de la integración de la perspectiva de género.</w:t>
      </w:r>
    </w:p>
    <w:p w14:paraId="384A861D" w14:textId="7F697987" w:rsidR="00295648" w:rsidRPr="00B1146A" w:rsidRDefault="00B1146A"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B1146A">
        <w:rPr>
          <w:color w:val="000000"/>
          <w:lang w:val="es-AR"/>
        </w:rPr>
        <w:t>Materiales de capacitación para le</w:t>
      </w:r>
      <w:r>
        <w:rPr>
          <w:color w:val="000000"/>
          <w:lang w:val="es-AR"/>
        </w:rPr>
        <w:t>gisladores y personal sobre igualdad de género</w:t>
      </w:r>
    </w:p>
    <w:p w14:paraId="30120AB8" w14:textId="19CECD32" w:rsidR="00295648" w:rsidRPr="00B1146A" w:rsidRDefault="00B1146A"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B1146A">
        <w:rPr>
          <w:color w:val="000000"/>
          <w:lang w:val="es-AR"/>
        </w:rPr>
        <w:t>Documentos o informes de investigaciones parlamentarias sobre cuestiones r</w:t>
      </w:r>
      <w:r>
        <w:rPr>
          <w:color w:val="000000"/>
          <w:lang w:val="es-AR"/>
        </w:rPr>
        <w:t>elacionadas con asuntos de género.</w:t>
      </w:r>
    </w:p>
    <w:p w14:paraId="3F3207F1" w14:textId="06B8EF58" w:rsidR="00295648" w:rsidRPr="00DF7172" w:rsidRDefault="00B1146A" w:rsidP="00DF7172">
      <w:pPr>
        <w:numPr>
          <w:ilvl w:val="0"/>
          <w:numId w:val="10"/>
        </w:numPr>
        <w:pBdr>
          <w:top w:val="nil"/>
          <w:left w:val="nil"/>
          <w:bottom w:val="nil"/>
          <w:right w:val="nil"/>
          <w:between w:val="nil"/>
        </w:pBdr>
        <w:ind w:left="562" w:hanging="562"/>
        <w:jc w:val="both"/>
        <w:rPr>
          <w:rFonts w:eastAsia="Arial" w:cs="Arial"/>
          <w:color w:val="000000"/>
          <w:szCs w:val="20"/>
          <w:lang w:val="es-US"/>
        </w:rPr>
      </w:pPr>
      <w:r w:rsidRPr="00B1146A">
        <w:rPr>
          <w:color w:val="000000"/>
          <w:lang w:val="es-AR"/>
        </w:rPr>
        <w:t xml:space="preserve">Leyes relacionadas con la igualdad de género aprobadas por el </w:t>
      </w:r>
      <w:r>
        <w:rPr>
          <w:color w:val="000000"/>
          <w:lang w:val="es-AR"/>
        </w:rPr>
        <w:t xml:space="preserve">Parlamento en los últimos cinco años o más. </w:t>
      </w:r>
    </w:p>
    <w:p w14:paraId="7D676CE2" w14:textId="01C7EF93" w:rsidR="00295648" w:rsidRPr="00B1146A" w:rsidRDefault="00B1146A"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B1146A">
        <w:rPr>
          <w:color w:val="000000"/>
          <w:lang w:val="es-AR"/>
        </w:rPr>
        <w:t>Informes al comité CEDAW y otros cuerpos que demuestran la examinación parlamentaria y aportes en el tema.</w:t>
      </w:r>
      <w:r>
        <w:rPr>
          <w:color w:val="000000"/>
          <w:lang w:val="es-AR"/>
        </w:rPr>
        <w:t xml:space="preserve"> </w:t>
      </w:r>
    </w:p>
    <w:p w14:paraId="24ECE1A0" w14:textId="6BF0F6A8" w:rsidR="00C06467" w:rsidRPr="00B1146A" w:rsidRDefault="00B1146A" w:rsidP="00DF7172">
      <w:pPr>
        <w:numPr>
          <w:ilvl w:val="0"/>
          <w:numId w:val="10"/>
        </w:numPr>
        <w:pBdr>
          <w:top w:val="nil"/>
          <w:left w:val="nil"/>
          <w:bottom w:val="nil"/>
          <w:right w:val="nil"/>
          <w:between w:val="nil"/>
        </w:pBdr>
        <w:ind w:left="562" w:hanging="562"/>
        <w:jc w:val="both"/>
        <w:rPr>
          <w:rFonts w:eastAsia="Arial" w:cs="Arial"/>
          <w:color w:val="000000"/>
          <w:szCs w:val="20"/>
          <w:lang w:val="es-AR"/>
        </w:rPr>
      </w:pPr>
      <w:r w:rsidRPr="00B1146A">
        <w:rPr>
          <w:color w:val="000000"/>
          <w:lang w:val="es-AR"/>
        </w:rPr>
        <w:t>Kits de herramientas y/o listados de verificaci</w:t>
      </w:r>
      <w:r>
        <w:rPr>
          <w:color w:val="000000"/>
          <w:lang w:val="es-AR"/>
        </w:rPr>
        <w:t xml:space="preserve">ón para el análisis con perspectiva de género de legislación </w:t>
      </w:r>
    </w:p>
    <w:p w14:paraId="2E0CBCE6" w14:textId="77777777" w:rsidR="007E7F51" w:rsidRDefault="007E7F51" w:rsidP="00DF7172">
      <w:pPr>
        <w:spacing w:before="120" w:after="120"/>
        <w:jc w:val="both"/>
        <w:rPr>
          <w:szCs w:val="20"/>
          <w:lang w:val="es-AR"/>
        </w:rPr>
      </w:pPr>
      <w:r>
        <w:rPr>
          <w:lang w:val="es-AR"/>
        </w:rPr>
        <w:t>Cuando corresponda, proporcione comentarios adicionales o ejemplos que respalden la evaluación.</w:t>
      </w:r>
    </w:p>
    <w:p w14:paraId="569069A3" w14:textId="0E51F944" w:rsidR="00295648" w:rsidRPr="00B116EB" w:rsidRDefault="00CE4737" w:rsidP="00DF7172">
      <w:pPr>
        <w:pStyle w:val="Heading4"/>
        <w:jc w:val="both"/>
        <w:rPr>
          <w:rFonts w:cstheme="majorBidi"/>
          <w:lang w:val="es-AR"/>
        </w:rPr>
      </w:pPr>
      <w:r w:rsidRPr="00B116EB">
        <w:rPr>
          <w:lang w:val="es-AR"/>
        </w:rPr>
        <w:t xml:space="preserve">Criterio de evaluación </w:t>
      </w:r>
      <w:r w:rsidR="00295648" w:rsidRPr="00B116EB">
        <w:rPr>
          <w:lang w:val="es-AR"/>
        </w:rPr>
        <w:t xml:space="preserve">1: </w:t>
      </w:r>
      <w:r w:rsidR="00D83726" w:rsidRPr="00B116EB">
        <w:rPr>
          <w:lang w:val="es-AR"/>
        </w:rPr>
        <w:t>Com</w:t>
      </w:r>
      <w:r w:rsidR="00B116EB" w:rsidRPr="00B116EB">
        <w:rPr>
          <w:lang w:val="es-AR"/>
        </w:rPr>
        <w:t>promiso con la integraci</w:t>
      </w:r>
      <w:r w:rsidR="00B116EB">
        <w:rPr>
          <w:lang w:val="es-AR"/>
        </w:rPr>
        <w:t>ón de la perspectiva de género</w:t>
      </w:r>
      <w:r w:rsidR="00295648" w:rsidRPr="00B116EB">
        <w:rPr>
          <w:lang w:val="es-AR"/>
        </w:rPr>
        <w:t xml:space="preserve"> </w:t>
      </w:r>
    </w:p>
    <w:p w14:paraId="6F04370E" w14:textId="64381369" w:rsidR="00B116EB" w:rsidRPr="00B116EB" w:rsidRDefault="00B116EB" w:rsidP="00DF7172">
      <w:pPr>
        <w:spacing w:after="120"/>
        <w:jc w:val="both"/>
        <w:rPr>
          <w:lang w:val="es-AR"/>
        </w:rPr>
      </w:pPr>
      <w:r w:rsidRPr="00B45878">
        <w:rPr>
          <w:lang w:val="es-AR"/>
        </w:rPr>
        <w:t xml:space="preserve">Se </w:t>
      </w:r>
      <w:r w:rsidR="00B45878" w:rsidRPr="00B45878">
        <w:rPr>
          <w:lang w:val="es-AR"/>
        </w:rPr>
        <w:t xml:space="preserve">expresa </w:t>
      </w:r>
      <w:r w:rsidRPr="00B45878">
        <w:rPr>
          <w:lang w:val="es-AR"/>
        </w:rPr>
        <w:t xml:space="preserve">públicamente un compromiso con la integración de la perspectiva de género en las normas parlamentarias, documentos de planificación estratégica y prácticas. </w:t>
      </w:r>
      <w:r w:rsidRPr="00B116EB">
        <w:rPr>
          <w:lang w:val="es-AR"/>
        </w:rPr>
        <w:t>El Parlamento monitorea regularmente e informa sobre su desempeño en la materia.</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CE7E17" w:rsidRPr="004D0354" w14:paraId="0A700D3A"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708026" w14:textId="77777777" w:rsidR="00CE7E17" w:rsidRDefault="00CE7E17" w:rsidP="00DF7172">
            <w:pPr>
              <w:jc w:val="both"/>
              <w:rPr>
                <w:szCs w:val="20"/>
              </w:rPr>
            </w:pPr>
            <w:r>
              <w:t>Inexistente</w:t>
            </w:r>
          </w:p>
          <w:sdt>
            <w:sdtPr>
              <w:rPr>
                <w:rFonts w:eastAsia="Arimo"/>
                <w:szCs w:val="20"/>
              </w:rPr>
              <w:id w:val="-417797301"/>
              <w14:checkbox>
                <w14:checked w14:val="0"/>
                <w14:checkedState w14:val="2612" w14:font="MS Gothic"/>
                <w14:uncheckedState w14:val="2610" w14:font="MS Gothic"/>
              </w14:checkbox>
            </w:sdtPr>
            <w:sdtEndPr/>
            <w:sdtContent>
              <w:p w14:paraId="76809192" w14:textId="50F1074C" w:rsidR="00CE7E17" w:rsidRPr="004D0354" w:rsidRDefault="00CE7E17" w:rsidP="00DF7172">
                <w:pPr>
                  <w:keepLines/>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D684C4" w14:textId="77777777" w:rsidR="00CE7E17" w:rsidRDefault="00CE7E17" w:rsidP="00DF7172">
            <w:pPr>
              <w:jc w:val="both"/>
              <w:rPr>
                <w:szCs w:val="20"/>
              </w:rPr>
            </w:pPr>
            <w:r>
              <w:t>Rudimentario</w:t>
            </w:r>
          </w:p>
          <w:sdt>
            <w:sdtPr>
              <w:rPr>
                <w:rFonts w:eastAsia="Arimo"/>
                <w:szCs w:val="20"/>
              </w:rPr>
              <w:id w:val="258108376"/>
              <w14:checkbox>
                <w14:checked w14:val="0"/>
                <w14:checkedState w14:val="2612" w14:font="MS Gothic"/>
                <w14:uncheckedState w14:val="2610" w14:font="MS Gothic"/>
              </w14:checkbox>
            </w:sdtPr>
            <w:sdtEndPr/>
            <w:sdtContent>
              <w:p w14:paraId="4912931A" w14:textId="51B03210" w:rsidR="00CE7E17" w:rsidRPr="004D0354" w:rsidRDefault="00CE7E17" w:rsidP="00DF7172">
                <w:pPr>
                  <w:keepLines/>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0BC030" w14:textId="77777777" w:rsidR="00CE7E17" w:rsidRDefault="00CE7E17" w:rsidP="00DF7172">
            <w:pPr>
              <w:jc w:val="both"/>
              <w:rPr>
                <w:szCs w:val="20"/>
              </w:rPr>
            </w:pPr>
            <w:r>
              <w:t>Básico</w:t>
            </w:r>
          </w:p>
          <w:sdt>
            <w:sdtPr>
              <w:rPr>
                <w:rFonts w:eastAsia="Arimo"/>
                <w:szCs w:val="20"/>
              </w:rPr>
              <w:id w:val="-1913005849"/>
              <w14:checkbox>
                <w14:checked w14:val="0"/>
                <w14:checkedState w14:val="2612" w14:font="MS Gothic"/>
                <w14:uncheckedState w14:val="2610" w14:font="MS Gothic"/>
              </w14:checkbox>
            </w:sdtPr>
            <w:sdtEndPr/>
            <w:sdtContent>
              <w:p w14:paraId="2E254165" w14:textId="12D8B267" w:rsidR="00CE7E17" w:rsidRPr="004D0354" w:rsidRDefault="00CE7E17" w:rsidP="00DF7172">
                <w:pPr>
                  <w:keepLines/>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C73EEC" w14:textId="77777777" w:rsidR="00CE7E17" w:rsidRDefault="00CE7E17" w:rsidP="00DF7172">
            <w:pPr>
              <w:jc w:val="both"/>
              <w:rPr>
                <w:szCs w:val="20"/>
              </w:rPr>
            </w:pPr>
            <w:r>
              <w:t>Bueno</w:t>
            </w:r>
          </w:p>
          <w:sdt>
            <w:sdtPr>
              <w:rPr>
                <w:rFonts w:eastAsia="Arimo"/>
                <w:szCs w:val="20"/>
              </w:rPr>
              <w:id w:val="2133286414"/>
              <w14:checkbox>
                <w14:checked w14:val="0"/>
                <w14:checkedState w14:val="2612" w14:font="MS Gothic"/>
                <w14:uncheckedState w14:val="2610" w14:font="MS Gothic"/>
              </w14:checkbox>
            </w:sdtPr>
            <w:sdtEndPr/>
            <w:sdtContent>
              <w:p w14:paraId="52C6580F" w14:textId="2BC5A8AC" w:rsidR="00CE7E17" w:rsidRPr="004D0354" w:rsidRDefault="00CE7E17" w:rsidP="00DF7172">
                <w:pPr>
                  <w:keepLines/>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1FB84CC" w14:textId="77777777" w:rsidR="00CE7E17" w:rsidRDefault="00CE7E17" w:rsidP="00DF7172">
            <w:pPr>
              <w:jc w:val="both"/>
              <w:rPr>
                <w:szCs w:val="20"/>
              </w:rPr>
            </w:pPr>
            <w:r>
              <w:t>Muy bueno</w:t>
            </w:r>
          </w:p>
          <w:sdt>
            <w:sdtPr>
              <w:rPr>
                <w:rFonts w:eastAsia="Arimo"/>
                <w:szCs w:val="20"/>
              </w:rPr>
              <w:id w:val="-1889945230"/>
              <w14:checkbox>
                <w14:checked w14:val="0"/>
                <w14:checkedState w14:val="2612" w14:font="MS Gothic"/>
                <w14:uncheckedState w14:val="2610" w14:font="MS Gothic"/>
              </w14:checkbox>
            </w:sdtPr>
            <w:sdtEndPr/>
            <w:sdtContent>
              <w:p w14:paraId="41144008" w14:textId="39225EE6" w:rsidR="00CE7E17" w:rsidRPr="004D0354" w:rsidRDefault="00CE7E17" w:rsidP="00DF7172">
                <w:pPr>
                  <w:keepLines/>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01B7F32"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575729321"/>
              <w14:checkbox>
                <w14:checked w14:val="0"/>
                <w14:checkedState w14:val="2612" w14:font="MS Gothic"/>
                <w14:uncheckedState w14:val="2610" w14:font="MS Gothic"/>
              </w14:checkbox>
            </w:sdtPr>
            <w:sdtEndPr/>
            <w:sdtContent>
              <w:p w14:paraId="4F69019F" w14:textId="19EB9096" w:rsidR="00CE7E17" w:rsidRPr="004D0354" w:rsidRDefault="00CE7E17" w:rsidP="00DF7172">
                <w:pPr>
                  <w:keepLines/>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324E5E57"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1681C9" w14:textId="77777777" w:rsidR="00CE7E17" w:rsidRDefault="00CE7E17" w:rsidP="00DF7172">
            <w:pPr>
              <w:jc w:val="both"/>
              <w:rPr>
                <w:color w:val="005F9A"/>
                <w:szCs w:val="20"/>
                <w:lang w:val="es-AR"/>
              </w:rPr>
            </w:pPr>
            <w:r>
              <w:rPr>
                <w:color w:val="005F9A"/>
                <w:lang w:val="es-AR"/>
              </w:rPr>
              <w:t>Evidencia para este criterio de evaluación:</w:t>
            </w:r>
          </w:p>
          <w:p w14:paraId="637DFE2B" w14:textId="77777777" w:rsidR="00CE7E17" w:rsidRPr="00C36134" w:rsidRDefault="00CE7E17" w:rsidP="00DF7172">
            <w:pPr>
              <w:jc w:val="both"/>
              <w:rPr>
                <w:color w:val="0000FF"/>
                <w:szCs w:val="20"/>
                <w:lang w:val="es-AR"/>
              </w:rPr>
            </w:pPr>
          </w:p>
          <w:p w14:paraId="7B02B7B4" w14:textId="77777777" w:rsidR="00CE7E17" w:rsidRPr="00656F7F" w:rsidRDefault="00CE7E17" w:rsidP="00DF7172">
            <w:pPr>
              <w:keepLines/>
              <w:spacing w:line="276" w:lineRule="auto"/>
              <w:jc w:val="both"/>
              <w:rPr>
                <w:rFonts w:cs="Arial"/>
                <w:color w:val="0000FF"/>
                <w:sz w:val="18"/>
                <w:szCs w:val="18"/>
                <w:lang w:val="es-AR"/>
              </w:rPr>
            </w:pPr>
          </w:p>
        </w:tc>
      </w:tr>
    </w:tbl>
    <w:p w14:paraId="7523D2C7" w14:textId="5F4C3730" w:rsidR="00295648" w:rsidRPr="00FF3331" w:rsidRDefault="00CE4737" w:rsidP="00DF7172">
      <w:pPr>
        <w:pStyle w:val="Heading4"/>
        <w:jc w:val="both"/>
        <w:rPr>
          <w:rFonts w:cstheme="majorBidi"/>
          <w:lang w:val="es-AR"/>
        </w:rPr>
      </w:pPr>
      <w:r w:rsidRPr="00FF3331">
        <w:rPr>
          <w:lang w:val="es-AR"/>
        </w:rPr>
        <w:t xml:space="preserve">Criterio de evaluación </w:t>
      </w:r>
      <w:r w:rsidR="00295648" w:rsidRPr="00FF3331">
        <w:rPr>
          <w:lang w:val="es-AR"/>
        </w:rPr>
        <w:t xml:space="preserve">2: </w:t>
      </w:r>
      <w:r w:rsidR="00FF3331">
        <w:rPr>
          <w:lang w:val="es-AR"/>
        </w:rPr>
        <w:t xml:space="preserve">Proceso legislativo y supervisión </w:t>
      </w:r>
      <w:r w:rsidR="00792CBA" w:rsidRPr="00FF3331">
        <w:rPr>
          <w:lang w:val="es-AR"/>
        </w:rPr>
        <w:t xml:space="preserve"> </w:t>
      </w:r>
    </w:p>
    <w:p w14:paraId="5273EB63" w14:textId="77777777" w:rsidR="00FF3331" w:rsidRPr="00DF7172" w:rsidRDefault="00FF3331" w:rsidP="00DF7172">
      <w:pPr>
        <w:spacing w:after="120"/>
        <w:jc w:val="both"/>
        <w:rPr>
          <w:lang w:val="es-US"/>
        </w:rPr>
      </w:pPr>
      <w:r w:rsidRPr="00DF7172">
        <w:rPr>
          <w:lang w:val="es-US"/>
        </w:rPr>
        <w:t xml:space="preserve">El Parlamento ha establecido una comisión de igualdad de género u otro órgano especializado con el mandato de examinar legislación y supervisar al Ejecutivo desde una perspectiva de género. Existen mecanismos para apoyar la integración de la perspectiva de género en el trabajo de todas las comisiones parlamentarias. </w:t>
      </w:r>
    </w:p>
    <w:tbl>
      <w:tblPr>
        <w:tblW w:w="4988" w:type="pct"/>
        <w:tblInd w:w="10" w:type="dxa"/>
        <w:tblCellMar>
          <w:left w:w="115" w:type="dxa"/>
          <w:right w:w="115" w:type="dxa"/>
        </w:tblCellMar>
        <w:tblLook w:val="0400" w:firstRow="0" w:lastRow="0" w:firstColumn="0" w:lastColumn="0" w:noHBand="0" w:noVBand="1"/>
      </w:tblPr>
      <w:tblGrid>
        <w:gridCol w:w="1460"/>
        <w:gridCol w:w="1459"/>
        <w:gridCol w:w="1459"/>
        <w:gridCol w:w="1459"/>
        <w:gridCol w:w="1459"/>
        <w:gridCol w:w="1463"/>
      </w:tblGrid>
      <w:tr w:rsidR="00CE7E17" w:rsidRPr="004D0354" w14:paraId="4E165041"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5F59DD2" w14:textId="77777777" w:rsidR="00CE7E17" w:rsidRDefault="00CE7E17" w:rsidP="00DF7172">
            <w:pPr>
              <w:jc w:val="both"/>
              <w:rPr>
                <w:szCs w:val="20"/>
              </w:rPr>
            </w:pPr>
            <w:r>
              <w:t>Inexistente</w:t>
            </w:r>
          </w:p>
          <w:sdt>
            <w:sdtPr>
              <w:rPr>
                <w:rFonts w:eastAsia="Arimo"/>
                <w:szCs w:val="20"/>
              </w:rPr>
              <w:id w:val="789700332"/>
              <w14:checkbox>
                <w14:checked w14:val="0"/>
                <w14:checkedState w14:val="2612" w14:font="MS Gothic"/>
                <w14:uncheckedState w14:val="2610" w14:font="MS Gothic"/>
              </w14:checkbox>
            </w:sdtPr>
            <w:sdtEndPr/>
            <w:sdtContent>
              <w:p w14:paraId="6075B070" w14:textId="5AB45462"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2953CA1" w14:textId="77777777" w:rsidR="00CE7E17" w:rsidRDefault="00CE7E17" w:rsidP="00DF7172">
            <w:pPr>
              <w:jc w:val="both"/>
              <w:rPr>
                <w:szCs w:val="20"/>
              </w:rPr>
            </w:pPr>
            <w:r>
              <w:t>Rudimentario</w:t>
            </w:r>
          </w:p>
          <w:sdt>
            <w:sdtPr>
              <w:rPr>
                <w:rFonts w:eastAsia="Arimo"/>
                <w:szCs w:val="20"/>
              </w:rPr>
              <w:id w:val="2145233635"/>
              <w14:checkbox>
                <w14:checked w14:val="0"/>
                <w14:checkedState w14:val="2612" w14:font="MS Gothic"/>
                <w14:uncheckedState w14:val="2610" w14:font="MS Gothic"/>
              </w14:checkbox>
            </w:sdtPr>
            <w:sdtEndPr/>
            <w:sdtContent>
              <w:p w14:paraId="4E054BA6" w14:textId="02439900"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BB08FB" w14:textId="77777777" w:rsidR="00CE7E17" w:rsidRDefault="00CE7E17" w:rsidP="00DF7172">
            <w:pPr>
              <w:jc w:val="both"/>
              <w:rPr>
                <w:szCs w:val="20"/>
              </w:rPr>
            </w:pPr>
            <w:r>
              <w:t>Básico</w:t>
            </w:r>
          </w:p>
          <w:sdt>
            <w:sdtPr>
              <w:rPr>
                <w:rFonts w:eastAsia="Arimo"/>
                <w:szCs w:val="20"/>
              </w:rPr>
              <w:id w:val="580268206"/>
              <w14:checkbox>
                <w14:checked w14:val="0"/>
                <w14:checkedState w14:val="2612" w14:font="MS Gothic"/>
                <w14:uncheckedState w14:val="2610" w14:font="MS Gothic"/>
              </w14:checkbox>
            </w:sdtPr>
            <w:sdtEndPr/>
            <w:sdtContent>
              <w:p w14:paraId="3228E3C2" w14:textId="705447A4"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E388D8" w14:textId="77777777" w:rsidR="00CE7E17" w:rsidRDefault="00CE7E17" w:rsidP="00DF7172">
            <w:pPr>
              <w:jc w:val="both"/>
              <w:rPr>
                <w:szCs w:val="20"/>
              </w:rPr>
            </w:pPr>
            <w:r>
              <w:t>Bueno</w:t>
            </w:r>
          </w:p>
          <w:sdt>
            <w:sdtPr>
              <w:rPr>
                <w:rFonts w:eastAsia="Arimo"/>
                <w:szCs w:val="20"/>
              </w:rPr>
              <w:id w:val="-767776253"/>
              <w14:checkbox>
                <w14:checked w14:val="0"/>
                <w14:checkedState w14:val="2612" w14:font="MS Gothic"/>
                <w14:uncheckedState w14:val="2610" w14:font="MS Gothic"/>
              </w14:checkbox>
            </w:sdtPr>
            <w:sdtEndPr/>
            <w:sdtContent>
              <w:p w14:paraId="216BC7D5" w14:textId="0705C746"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594B4EB" w14:textId="77777777" w:rsidR="00CE7E17" w:rsidRDefault="00CE7E17" w:rsidP="00DF7172">
            <w:pPr>
              <w:jc w:val="both"/>
              <w:rPr>
                <w:szCs w:val="20"/>
              </w:rPr>
            </w:pPr>
            <w:r>
              <w:t>Muy bueno</w:t>
            </w:r>
          </w:p>
          <w:sdt>
            <w:sdtPr>
              <w:rPr>
                <w:rFonts w:eastAsia="Arimo"/>
                <w:szCs w:val="20"/>
              </w:rPr>
              <w:id w:val="-1762370704"/>
              <w14:checkbox>
                <w14:checked w14:val="0"/>
                <w14:checkedState w14:val="2612" w14:font="MS Gothic"/>
                <w14:uncheckedState w14:val="2610" w14:font="MS Gothic"/>
              </w14:checkbox>
            </w:sdtPr>
            <w:sdtEndPr/>
            <w:sdtContent>
              <w:p w14:paraId="64EDCADF" w14:textId="54ED6879"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A5620DD"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957990588"/>
              <w14:checkbox>
                <w14:checked w14:val="0"/>
                <w14:checkedState w14:val="2612" w14:font="MS Gothic"/>
                <w14:uncheckedState w14:val="2610" w14:font="MS Gothic"/>
              </w14:checkbox>
            </w:sdtPr>
            <w:sdtEndPr/>
            <w:sdtContent>
              <w:p w14:paraId="5F6202E7" w14:textId="7537732E"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216E6344"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AB50D" w14:textId="77777777" w:rsidR="00CE7E17" w:rsidRDefault="00CE7E17" w:rsidP="00DF7172">
            <w:pPr>
              <w:jc w:val="both"/>
              <w:rPr>
                <w:color w:val="005F9A"/>
                <w:szCs w:val="20"/>
                <w:lang w:val="es-AR"/>
              </w:rPr>
            </w:pPr>
            <w:r>
              <w:rPr>
                <w:color w:val="005F9A"/>
                <w:lang w:val="es-AR"/>
              </w:rPr>
              <w:t>Evidencia para este criterio de evaluación:</w:t>
            </w:r>
          </w:p>
          <w:p w14:paraId="2C10B1FA" w14:textId="77777777" w:rsidR="00CE7E17" w:rsidRPr="00C36134" w:rsidRDefault="00CE7E17" w:rsidP="00DF7172">
            <w:pPr>
              <w:jc w:val="both"/>
              <w:rPr>
                <w:color w:val="0000FF"/>
                <w:szCs w:val="20"/>
                <w:lang w:val="es-AR"/>
              </w:rPr>
            </w:pPr>
          </w:p>
          <w:p w14:paraId="0CB546EB" w14:textId="77777777" w:rsidR="00CE7E17" w:rsidRPr="00656F7F" w:rsidRDefault="00CE7E17" w:rsidP="00DF7172">
            <w:pPr>
              <w:spacing w:line="276" w:lineRule="auto"/>
              <w:jc w:val="both"/>
              <w:rPr>
                <w:rFonts w:cs="Arial"/>
                <w:color w:val="0000FF"/>
                <w:sz w:val="18"/>
                <w:szCs w:val="18"/>
                <w:lang w:val="es-AR"/>
              </w:rPr>
            </w:pPr>
          </w:p>
        </w:tc>
      </w:tr>
    </w:tbl>
    <w:p w14:paraId="43BDC9DB" w14:textId="0392B787" w:rsidR="00295648" w:rsidRPr="00DF7172" w:rsidRDefault="00CE4737" w:rsidP="00DF7172">
      <w:pPr>
        <w:pStyle w:val="Heading4"/>
        <w:jc w:val="both"/>
        <w:rPr>
          <w:rFonts w:cstheme="majorBidi"/>
          <w:lang w:val="es-US"/>
        </w:rPr>
      </w:pPr>
      <w:r w:rsidRPr="00DF7172">
        <w:rPr>
          <w:lang w:val="es-US"/>
        </w:rPr>
        <w:t xml:space="preserve">Criterio de evaluación </w:t>
      </w:r>
      <w:r w:rsidR="00126537" w:rsidRPr="00DF7172">
        <w:rPr>
          <w:lang w:val="es-US"/>
        </w:rPr>
        <w:t>3</w:t>
      </w:r>
      <w:r w:rsidR="00295648" w:rsidRPr="00DF7172">
        <w:rPr>
          <w:lang w:val="es-US"/>
        </w:rPr>
        <w:t xml:space="preserve">: </w:t>
      </w:r>
      <w:r w:rsidR="00FF3331" w:rsidRPr="00DF7172">
        <w:rPr>
          <w:lang w:val="es-US"/>
        </w:rPr>
        <w:t>Consulta</w:t>
      </w:r>
    </w:p>
    <w:p w14:paraId="32668002" w14:textId="77777777" w:rsidR="00FF3331" w:rsidRPr="00FF3331" w:rsidRDefault="00FF3331" w:rsidP="00DF7172">
      <w:pPr>
        <w:spacing w:after="120"/>
        <w:jc w:val="both"/>
        <w:rPr>
          <w:lang w:val="es-AR"/>
        </w:rPr>
      </w:pPr>
      <w:r w:rsidRPr="00FF3331">
        <w:rPr>
          <w:lang w:val="es-AR"/>
        </w:rPr>
        <w:lastRenderedPageBreak/>
        <w:t xml:space="preserve">Grupos nacionales de mujeres, defensores de los derechos de género, organizaciones de la sociedad civil, el sector privado, la academia y otras fuentes externas con experiencia en el tema son consultados regularmente en el marco del trabajo parlamentario y de las comisiones. </w:t>
      </w:r>
    </w:p>
    <w:tbl>
      <w:tblPr>
        <w:tblW w:w="4988" w:type="pct"/>
        <w:tblInd w:w="10" w:type="dxa"/>
        <w:tblCellMar>
          <w:left w:w="115" w:type="dxa"/>
          <w:right w:w="115" w:type="dxa"/>
        </w:tblCellMar>
        <w:tblLook w:val="0400" w:firstRow="0" w:lastRow="0" w:firstColumn="0" w:lastColumn="0" w:noHBand="0" w:noVBand="1"/>
      </w:tblPr>
      <w:tblGrid>
        <w:gridCol w:w="1460"/>
        <w:gridCol w:w="1459"/>
        <w:gridCol w:w="1459"/>
        <w:gridCol w:w="1459"/>
        <w:gridCol w:w="1459"/>
        <w:gridCol w:w="1463"/>
      </w:tblGrid>
      <w:tr w:rsidR="00CE7E17" w:rsidRPr="004D0354" w14:paraId="3EA4E329"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1403559" w14:textId="77777777" w:rsidR="00CE7E17" w:rsidRDefault="00CE7E17" w:rsidP="00DF7172">
            <w:pPr>
              <w:jc w:val="both"/>
              <w:rPr>
                <w:szCs w:val="20"/>
              </w:rPr>
            </w:pPr>
            <w:r>
              <w:t>Inexistente</w:t>
            </w:r>
          </w:p>
          <w:sdt>
            <w:sdtPr>
              <w:rPr>
                <w:rFonts w:eastAsia="Arimo"/>
                <w:szCs w:val="20"/>
              </w:rPr>
              <w:id w:val="-2018461318"/>
              <w14:checkbox>
                <w14:checked w14:val="0"/>
                <w14:checkedState w14:val="2612" w14:font="MS Gothic"/>
                <w14:uncheckedState w14:val="2610" w14:font="MS Gothic"/>
              </w14:checkbox>
            </w:sdtPr>
            <w:sdtEndPr/>
            <w:sdtContent>
              <w:p w14:paraId="36F443B2" w14:textId="374B4EEE"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BEDC63" w14:textId="77777777" w:rsidR="00CE7E17" w:rsidRDefault="00CE7E17" w:rsidP="00DF7172">
            <w:pPr>
              <w:jc w:val="both"/>
              <w:rPr>
                <w:szCs w:val="20"/>
              </w:rPr>
            </w:pPr>
            <w:r>
              <w:t>Rudimentario</w:t>
            </w:r>
          </w:p>
          <w:sdt>
            <w:sdtPr>
              <w:rPr>
                <w:rFonts w:eastAsia="Arimo"/>
                <w:szCs w:val="20"/>
              </w:rPr>
              <w:id w:val="-508758596"/>
              <w14:checkbox>
                <w14:checked w14:val="0"/>
                <w14:checkedState w14:val="2612" w14:font="MS Gothic"/>
                <w14:uncheckedState w14:val="2610" w14:font="MS Gothic"/>
              </w14:checkbox>
            </w:sdtPr>
            <w:sdtEndPr/>
            <w:sdtContent>
              <w:p w14:paraId="4F6006DF" w14:textId="4F19A4CB"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AA9A7F" w14:textId="77777777" w:rsidR="00CE7E17" w:rsidRDefault="00CE7E17" w:rsidP="00DF7172">
            <w:pPr>
              <w:jc w:val="both"/>
              <w:rPr>
                <w:szCs w:val="20"/>
              </w:rPr>
            </w:pPr>
            <w:r>
              <w:t>Básico</w:t>
            </w:r>
          </w:p>
          <w:sdt>
            <w:sdtPr>
              <w:rPr>
                <w:rFonts w:eastAsia="Arimo"/>
                <w:szCs w:val="20"/>
              </w:rPr>
              <w:id w:val="-1832523055"/>
              <w14:checkbox>
                <w14:checked w14:val="0"/>
                <w14:checkedState w14:val="2612" w14:font="MS Gothic"/>
                <w14:uncheckedState w14:val="2610" w14:font="MS Gothic"/>
              </w14:checkbox>
            </w:sdtPr>
            <w:sdtEndPr/>
            <w:sdtContent>
              <w:p w14:paraId="08B354B5" w14:textId="01F5CEF6"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6FD77F" w14:textId="77777777" w:rsidR="00CE7E17" w:rsidRDefault="00CE7E17" w:rsidP="00DF7172">
            <w:pPr>
              <w:jc w:val="both"/>
              <w:rPr>
                <w:szCs w:val="20"/>
              </w:rPr>
            </w:pPr>
            <w:r>
              <w:t>Bueno</w:t>
            </w:r>
          </w:p>
          <w:sdt>
            <w:sdtPr>
              <w:rPr>
                <w:rFonts w:eastAsia="Arimo"/>
                <w:szCs w:val="20"/>
              </w:rPr>
              <w:id w:val="-1072041551"/>
              <w14:checkbox>
                <w14:checked w14:val="0"/>
                <w14:checkedState w14:val="2612" w14:font="MS Gothic"/>
                <w14:uncheckedState w14:val="2610" w14:font="MS Gothic"/>
              </w14:checkbox>
            </w:sdtPr>
            <w:sdtEndPr/>
            <w:sdtContent>
              <w:p w14:paraId="4A764429" w14:textId="7FAAC8E6"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36453B" w14:textId="77777777" w:rsidR="00CE7E17" w:rsidRDefault="00CE7E17" w:rsidP="00DF7172">
            <w:pPr>
              <w:jc w:val="both"/>
              <w:rPr>
                <w:szCs w:val="20"/>
              </w:rPr>
            </w:pPr>
            <w:r>
              <w:t>Muy bueno</w:t>
            </w:r>
          </w:p>
          <w:sdt>
            <w:sdtPr>
              <w:rPr>
                <w:rFonts w:eastAsia="Arimo"/>
                <w:szCs w:val="20"/>
              </w:rPr>
              <w:id w:val="-2080515484"/>
              <w14:checkbox>
                <w14:checked w14:val="0"/>
                <w14:checkedState w14:val="2612" w14:font="MS Gothic"/>
                <w14:uncheckedState w14:val="2610" w14:font="MS Gothic"/>
              </w14:checkbox>
            </w:sdtPr>
            <w:sdtEndPr/>
            <w:sdtContent>
              <w:p w14:paraId="487069D6" w14:textId="300A9F6F"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2086CAE"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704387545"/>
              <w14:checkbox>
                <w14:checked w14:val="0"/>
                <w14:checkedState w14:val="2612" w14:font="MS Gothic"/>
                <w14:uncheckedState w14:val="2610" w14:font="MS Gothic"/>
              </w14:checkbox>
            </w:sdtPr>
            <w:sdtEndPr/>
            <w:sdtContent>
              <w:p w14:paraId="59E19884" w14:textId="183E08AF"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7BF3F38D"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FE145" w14:textId="77777777" w:rsidR="00CE7E17" w:rsidRDefault="00CE7E17" w:rsidP="00DF7172">
            <w:pPr>
              <w:jc w:val="both"/>
              <w:rPr>
                <w:color w:val="005F9A"/>
                <w:szCs w:val="20"/>
                <w:lang w:val="es-AR"/>
              </w:rPr>
            </w:pPr>
            <w:r>
              <w:rPr>
                <w:color w:val="005F9A"/>
                <w:lang w:val="es-AR"/>
              </w:rPr>
              <w:t>Evidencia para este criterio de evaluación:</w:t>
            </w:r>
          </w:p>
          <w:p w14:paraId="0DD1C752" w14:textId="77777777" w:rsidR="00CE7E17" w:rsidRPr="00C36134" w:rsidRDefault="00CE7E17" w:rsidP="00DF7172">
            <w:pPr>
              <w:jc w:val="both"/>
              <w:rPr>
                <w:color w:val="0000FF"/>
                <w:szCs w:val="20"/>
                <w:lang w:val="es-AR"/>
              </w:rPr>
            </w:pPr>
          </w:p>
          <w:p w14:paraId="7C203DE8" w14:textId="77777777" w:rsidR="00CE7E17" w:rsidRPr="00656F7F" w:rsidRDefault="00CE7E17" w:rsidP="00DF7172">
            <w:pPr>
              <w:spacing w:line="276" w:lineRule="auto"/>
              <w:jc w:val="both"/>
              <w:rPr>
                <w:rFonts w:cs="Arial"/>
                <w:color w:val="0000FF"/>
                <w:sz w:val="18"/>
                <w:szCs w:val="18"/>
                <w:lang w:val="es-AR"/>
              </w:rPr>
            </w:pPr>
          </w:p>
        </w:tc>
      </w:tr>
    </w:tbl>
    <w:p w14:paraId="2BA9851B" w14:textId="29074FD4" w:rsidR="00126537" w:rsidRPr="00FF3331" w:rsidRDefault="00CE4737" w:rsidP="00DF7172">
      <w:pPr>
        <w:pStyle w:val="Heading4"/>
        <w:jc w:val="both"/>
        <w:rPr>
          <w:rFonts w:cstheme="majorBidi"/>
          <w:lang w:val="es-AR"/>
        </w:rPr>
      </w:pPr>
      <w:r w:rsidRPr="00FF3331">
        <w:rPr>
          <w:lang w:val="es-AR"/>
        </w:rPr>
        <w:t xml:space="preserve">Criterio de evaluación </w:t>
      </w:r>
      <w:r w:rsidR="00126537" w:rsidRPr="00FF3331">
        <w:rPr>
          <w:lang w:val="es-AR"/>
        </w:rPr>
        <w:t>4: C</w:t>
      </w:r>
      <w:r w:rsidR="00FF3331" w:rsidRPr="00FF3331">
        <w:rPr>
          <w:lang w:val="es-AR"/>
        </w:rPr>
        <w:t>omité C</w:t>
      </w:r>
      <w:r w:rsidR="00126537" w:rsidRPr="00FF3331">
        <w:rPr>
          <w:lang w:val="es-AR"/>
        </w:rPr>
        <w:t>EDAW</w:t>
      </w:r>
    </w:p>
    <w:p w14:paraId="1827A2CE" w14:textId="2F17D195" w:rsidR="00126537" w:rsidRPr="00FF3331" w:rsidRDefault="00FF3331" w:rsidP="00DF7172">
      <w:pPr>
        <w:spacing w:after="120"/>
        <w:jc w:val="both"/>
        <w:rPr>
          <w:lang w:val="es-AR"/>
        </w:rPr>
      </w:pPr>
      <w:r w:rsidRPr="00FF3331">
        <w:rPr>
          <w:lang w:val="es-AR"/>
        </w:rPr>
        <w:t>El Parlamento participa en la preparación y presentación de informes nacionales ante organismos internacionales, incluido el Comité para la Eliminación de la Discriminación contra la Mujer (el comité CEDAW) y realiza deb</w:t>
      </w:r>
      <w:r>
        <w:rPr>
          <w:lang w:val="es-AR"/>
        </w:rPr>
        <w:t xml:space="preserve">ates sobre las recomendaciones que resultan </w:t>
      </w:r>
      <w:r w:rsidRPr="00FF3331">
        <w:rPr>
          <w:lang w:val="es-AR"/>
        </w:rPr>
        <w:t>de los mismos.</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CE7E17" w:rsidRPr="004D0354" w14:paraId="163259E4"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76518E" w14:textId="77777777" w:rsidR="00CE7E17" w:rsidRDefault="00CE7E17" w:rsidP="00DF7172">
            <w:pPr>
              <w:jc w:val="both"/>
              <w:rPr>
                <w:szCs w:val="20"/>
              </w:rPr>
            </w:pPr>
            <w:r>
              <w:t>Inexistente</w:t>
            </w:r>
          </w:p>
          <w:sdt>
            <w:sdtPr>
              <w:rPr>
                <w:rFonts w:eastAsia="Arimo"/>
                <w:szCs w:val="20"/>
              </w:rPr>
              <w:id w:val="-1993391916"/>
              <w14:checkbox>
                <w14:checked w14:val="0"/>
                <w14:checkedState w14:val="2612" w14:font="MS Gothic"/>
                <w14:uncheckedState w14:val="2610" w14:font="MS Gothic"/>
              </w14:checkbox>
            </w:sdtPr>
            <w:sdtEndPr/>
            <w:sdtContent>
              <w:p w14:paraId="0A7EDD29" w14:textId="35239E03"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C71C296" w14:textId="77777777" w:rsidR="00CE7E17" w:rsidRDefault="00CE7E17" w:rsidP="00DF7172">
            <w:pPr>
              <w:jc w:val="both"/>
              <w:rPr>
                <w:szCs w:val="20"/>
              </w:rPr>
            </w:pPr>
            <w:r>
              <w:t>Rudimentario</w:t>
            </w:r>
          </w:p>
          <w:sdt>
            <w:sdtPr>
              <w:rPr>
                <w:rFonts w:eastAsia="Arimo"/>
                <w:szCs w:val="20"/>
              </w:rPr>
              <w:id w:val="1224420473"/>
              <w14:checkbox>
                <w14:checked w14:val="0"/>
                <w14:checkedState w14:val="2612" w14:font="MS Gothic"/>
                <w14:uncheckedState w14:val="2610" w14:font="MS Gothic"/>
              </w14:checkbox>
            </w:sdtPr>
            <w:sdtEndPr/>
            <w:sdtContent>
              <w:p w14:paraId="051BBE75" w14:textId="4342BFCC"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AC0FD4" w14:textId="77777777" w:rsidR="00CE7E17" w:rsidRDefault="00CE7E17" w:rsidP="00DF7172">
            <w:pPr>
              <w:jc w:val="both"/>
              <w:rPr>
                <w:szCs w:val="20"/>
              </w:rPr>
            </w:pPr>
            <w:r>
              <w:t>Básico</w:t>
            </w:r>
          </w:p>
          <w:sdt>
            <w:sdtPr>
              <w:rPr>
                <w:rFonts w:eastAsia="Arimo"/>
                <w:szCs w:val="20"/>
              </w:rPr>
              <w:id w:val="1542406551"/>
              <w14:checkbox>
                <w14:checked w14:val="0"/>
                <w14:checkedState w14:val="2612" w14:font="MS Gothic"/>
                <w14:uncheckedState w14:val="2610" w14:font="MS Gothic"/>
              </w14:checkbox>
            </w:sdtPr>
            <w:sdtEndPr/>
            <w:sdtContent>
              <w:p w14:paraId="31F56C3F" w14:textId="63E7E3FF"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492734" w14:textId="77777777" w:rsidR="00CE7E17" w:rsidRDefault="00CE7E17" w:rsidP="00DF7172">
            <w:pPr>
              <w:jc w:val="both"/>
              <w:rPr>
                <w:szCs w:val="20"/>
              </w:rPr>
            </w:pPr>
            <w:r>
              <w:t>Bueno</w:t>
            </w:r>
          </w:p>
          <w:sdt>
            <w:sdtPr>
              <w:rPr>
                <w:rFonts w:eastAsia="Arimo"/>
                <w:szCs w:val="20"/>
              </w:rPr>
              <w:id w:val="-1767373039"/>
              <w14:checkbox>
                <w14:checked w14:val="0"/>
                <w14:checkedState w14:val="2612" w14:font="MS Gothic"/>
                <w14:uncheckedState w14:val="2610" w14:font="MS Gothic"/>
              </w14:checkbox>
            </w:sdtPr>
            <w:sdtEndPr/>
            <w:sdtContent>
              <w:p w14:paraId="3BB4ACE5" w14:textId="3271BD00"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4F4D08" w14:textId="77777777" w:rsidR="00CE7E17" w:rsidRDefault="00CE7E17" w:rsidP="00DF7172">
            <w:pPr>
              <w:jc w:val="both"/>
              <w:rPr>
                <w:szCs w:val="20"/>
              </w:rPr>
            </w:pPr>
            <w:r>
              <w:t>Muy bueno</w:t>
            </w:r>
          </w:p>
          <w:sdt>
            <w:sdtPr>
              <w:rPr>
                <w:rFonts w:eastAsia="Arimo"/>
                <w:szCs w:val="20"/>
              </w:rPr>
              <w:id w:val="1459140376"/>
              <w14:checkbox>
                <w14:checked w14:val="0"/>
                <w14:checkedState w14:val="2612" w14:font="MS Gothic"/>
                <w14:uncheckedState w14:val="2610" w14:font="MS Gothic"/>
              </w14:checkbox>
            </w:sdtPr>
            <w:sdtEndPr/>
            <w:sdtContent>
              <w:p w14:paraId="12E295A9" w14:textId="7F4B0F8F"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D834298"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985734209"/>
              <w14:checkbox>
                <w14:checked w14:val="0"/>
                <w14:checkedState w14:val="2612" w14:font="MS Gothic"/>
                <w14:uncheckedState w14:val="2610" w14:font="MS Gothic"/>
              </w14:checkbox>
            </w:sdtPr>
            <w:sdtEndPr/>
            <w:sdtContent>
              <w:p w14:paraId="64010539" w14:textId="4F9E7AD7"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19156009"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B57BC" w14:textId="77777777" w:rsidR="00CE7E17" w:rsidRDefault="00CE7E17" w:rsidP="00DF7172">
            <w:pPr>
              <w:jc w:val="both"/>
              <w:rPr>
                <w:color w:val="005F9A"/>
                <w:szCs w:val="20"/>
                <w:lang w:val="es-AR"/>
              </w:rPr>
            </w:pPr>
            <w:r>
              <w:rPr>
                <w:color w:val="005F9A"/>
                <w:lang w:val="es-AR"/>
              </w:rPr>
              <w:t>Evidencia para este criterio de evaluación:</w:t>
            </w:r>
          </w:p>
          <w:p w14:paraId="32C181AB" w14:textId="77777777" w:rsidR="00CE7E17" w:rsidRPr="00C36134" w:rsidRDefault="00CE7E17" w:rsidP="00DF7172">
            <w:pPr>
              <w:jc w:val="both"/>
              <w:rPr>
                <w:color w:val="0000FF"/>
                <w:szCs w:val="20"/>
                <w:lang w:val="es-AR"/>
              </w:rPr>
            </w:pPr>
          </w:p>
          <w:p w14:paraId="70F599AC" w14:textId="77777777" w:rsidR="00CE7E17" w:rsidRPr="00656F7F" w:rsidRDefault="00CE7E17" w:rsidP="00DF7172">
            <w:pPr>
              <w:spacing w:line="276" w:lineRule="auto"/>
              <w:jc w:val="both"/>
              <w:rPr>
                <w:rFonts w:cs="Arial"/>
                <w:color w:val="0000FF"/>
                <w:sz w:val="18"/>
                <w:szCs w:val="18"/>
                <w:lang w:val="es-AR"/>
              </w:rPr>
            </w:pPr>
          </w:p>
        </w:tc>
      </w:tr>
    </w:tbl>
    <w:p w14:paraId="350E3EDA" w14:textId="0F30D867" w:rsidR="00295648" w:rsidRPr="00FF3331" w:rsidRDefault="00CE4737" w:rsidP="00DF7172">
      <w:pPr>
        <w:pStyle w:val="Heading4"/>
        <w:jc w:val="both"/>
        <w:rPr>
          <w:rFonts w:cstheme="majorBidi"/>
          <w:lang w:val="es-AR"/>
        </w:rPr>
      </w:pPr>
      <w:r w:rsidRPr="00FF3331">
        <w:rPr>
          <w:lang w:val="es-AR"/>
        </w:rPr>
        <w:t xml:space="preserve">Criterio de evaluación </w:t>
      </w:r>
      <w:r w:rsidR="00D83726" w:rsidRPr="00FF3331">
        <w:rPr>
          <w:lang w:val="es-AR"/>
        </w:rPr>
        <w:t>5</w:t>
      </w:r>
      <w:r w:rsidR="00295648" w:rsidRPr="00FF3331">
        <w:rPr>
          <w:lang w:val="es-AR"/>
        </w:rPr>
        <w:t xml:space="preserve">: </w:t>
      </w:r>
      <w:r w:rsidR="00D83726" w:rsidRPr="00FF3331">
        <w:rPr>
          <w:lang w:val="es-AR"/>
        </w:rPr>
        <w:t>R</w:t>
      </w:r>
      <w:r w:rsidR="00FF3331" w:rsidRPr="00FF3331">
        <w:rPr>
          <w:lang w:val="es-AR"/>
        </w:rPr>
        <w:t>ecursos</w:t>
      </w:r>
    </w:p>
    <w:p w14:paraId="2B557DEA" w14:textId="182BB0B5" w:rsidR="00295648" w:rsidRPr="00FF3331" w:rsidRDefault="00FF3331" w:rsidP="00DF7172">
      <w:pPr>
        <w:spacing w:after="120"/>
        <w:jc w:val="both"/>
        <w:rPr>
          <w:rFonts w:eastAsia="Arial" w:cs="Arial"/>
          <w:color w:val="000000"/>
          <w:szCs w:val="20"/>
          <w:lang w:val="es-AR"/>
        </w:rPr>
      </w:pPr>
      <w:r w:rsidRPr="00B116EB">
        <w:rPr>
          <w:lang w:val="es-AR"/>
        </w:rPr>
        <w:t>Todos los legisladores</w:t>
      </w:r>
      <w:r>
        <w:rPr>
          <w:lang w:val="es-AR"/>
        </w:rPr>
        <w:t xml:space="preserve"> pueden capacitarse</w:t>
      </w:r>
      <w:r w:rsidRPr="00B116EB">
        <w:rPr>
          <w:lang w:val="es-AR"/>
        </w:rPr>
        <w:t xml:space="preserve"> sobre cuestiones de género</w:t>
      </w:r>
      <w:r>
        <w:rPr>
          <w:lang w:val="es-AR"/>
        </w:rPr>
        <w:t xml:space="preserve">. </w:t>
      </w:r>
      <w:r w:rsidRPr="00B116EB">
        <w:rPr>
          <w:lang w:val="es-AR"/>
        </w:rPr>
        <w:t>El personal/asesores de investigación y de las comisiones parlamentarias tienen la capacidad de brindar an</w:t>
      </w:r>
      <w:r>
        <w:rPr>
          <w:lang w:val="es-AR"/>
        </w:rPr>
        <w:t>álisis expertos e informes sobre cuestiones de género, incluyendo estadísticas y datos desglosados por sexo.</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CE7E17" w:rsidRPr="004D0354" w14:paraId="5389178D"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D7414C" w14:textId="77777777" w:rsidR="00CE7E17" w:rsidRDefault="00CE7E17" w:rsidP="00DF7172">
            <w:pPr>
              <w:jc w:val="both"/>
              <w:rPr>
                <w:szCs w:val="20"/>
              </w:rPr>
            </w:pPr>
            <w:r>
              <w:t>Inexistente</w:t>
            </w:r>
          </w:p>
          <w:sdt>
            <w:sdtPr>
              <w:rPr>
                <w:rFonts w:eastAsia="Arimo"/>
                <w:szCs w:val="20"/>
              </w:rPr>
              <w:id w:val="179861838"/>
              <w14:checkbox>
                <w14:checked w14:val="0"/>
                <w14:checkedState w14:val="2612" w14:font="MS Gothic"/>
                <w14:uncheckedState w14:val="2610" w14:font="MS Gothic"/>
              </w14:checkbox>
            </w:sdtPr>
            <w:sdtEndPr/>
            <w:sdtContent>
              <w:p w14:paraId="33B55459" w14:textId="44F0C6BE"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8AD2EEC" w14:textId="77777777" w:rsidR="00CE7E17" w:rsidRDefault="00CE7E17" w:rsidP="00DF7172">
            <w:pPr>
              <w:jc w:val="both"/>
              <w:rPr>
                <w:szCs w:val="20"/>
              </w:rPr>
            </w:pPr>
            <w:r>
              <w:t>Rudimentario</w:t>
            </w:r>
          </w:p>
          <w:sdt>
            <w:sdtPr>
              <w:rPr>
                <w:rFonts w:eastAsia="Arimo"/>
                <w:szCs w:val="20"/>
              </w:rPr>
              <w:id w:val="82573443"/>
              <w14:checkbox>
                <w14:checked w14:val="0"/>
                <w14:checkedState w14:val="2612" w14:font="MS Gothic"/>
                <w14:uncheckedState w14:val="2610" w14:font="MS Gothic"/>
              </w14:checkbox>
            </w:sdtPr>
            <w:sdtEndPr/>
            <w:sdtContent>
              <w:p w14:paraId="7992DF3E" w14:textId="66EDF284"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DDE913" w14:textId="77777777" w:rsidR="00CE7E17" w:rsidRDefault="00CE7E17" w:rsidP="00DF7172">
            <w:pPr>
              <w:jc w:val="both"/>
              <w:rPr>
                <w:szCs w:val="20"/>
              </w:rPr>
            </w:pPr>
            <w:r>
              <w:t>Básico</w:t>
            </w:r>
          </w:p>
          <w:sdt>
            <w:sdtPr>
              <w:rPr>
                <w:rFonts w:eastAsia="Arimo"/>
                <w:szCs w:val="20"/>
              </w:rPr>
              <w:id w:val="431017515"/>
              <w14:checkbox>
                <w14:checked w14:val="0"/>
                <w14:checkedState w14:val="2612" w14:font="MS Gothic"/>
                <w14:uncheckedState w14:val="2610" w14:font="MS Gothic"/>
              </w14:checkbox>
            </w:sdtPr>
            <w:sdtEndPr/>
            <w:sdtContent>
              <w:p w14:paraId="02E184F6" w14:textId="484364DB"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6019EB" w14:textId="77777777" w:rsidR="00CE7E17" w:rsidRDefault="00CE7E17" w:rsidP="00DF7172">
            <w:pPr>
              <w:jc w:val="both"/>
              <w:rPr>
                <w:szCs w:val="20"/>
              </w:rPr>
            </w:pPr>
            <w:r>
              <w:t>Bueno</w:t>
            </w:r>
          </w:p>
          <w:sdt>
            <w:sdtPr>
              <w:rPr>
                <w:rFonts w:eastAsia="Arimo"/>
                <w:szCs w:val="20"/>
              </w:rPr>
              <w:id w:val="-1284806196"/>
              <w14:checkbox>
                <w14:checked w14:val="0"/>
                <w14:checkedState w14:val="2612" w14:font="MS Gothic"/>
                <w14:uncheckedState w14:val="2610" w14:font="MS Gothic"/>
              </w14:checkbox>
            </w:sdtPr>
            <w:sdtEndPr/>
            <w:sdtContent>
              <w:p w14:paraId="16CAF05C" w14:textId="56CF35CB"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2F7488" w14:textId="77777777" w:rsidR="00CE7E17" w:rsidRDefault="00CE7E17" w:rsidP="00DF7172">
            <w:pPr>
              <w:jc w:val="both"/>
              <w:rPr>
                <w:szCs w:val="20"/>
              </w:rPr>
            </w:pPr>
            <w:r>
              <w:t>Muy bueno</w:t>
            </w:r>
          </w:p>
          <w:sdt>
            <w:sdtPr>
              <w:rPr>
                <w:rFonts w:eastAsia="Arimo"/>
                <w:szCs w:val="20"/>
              </w:rPr>
              <w:id w:val="542180847"/>
              <w14:checkbox>
                <w14:checked w14:val="0"/>
                <w14:checkedState w14:val="2612" w14:font="MS Gothic"/>
                <w14:uncheckedState w14:val="2610" w14:font="MS Gothic"/>
              </w14:checkbox>
            </w:sdtPr>
            <w:sdtEndPr/>
            <w:sdtContent>
              <w:p w14:paraId="2B9CFB24" w14:textId="129654D5"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CFC5989"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530193830"/>
              <w14:checkbox>
                <w14:checked w14:val="0"/>
                <w14:checkedState w14:val="2612" w14:font="MS Gothic"/>
                <w14:uncheckedState w14:val="2610" w14:font="MS Gothic"/>
              </w14:checkbox>
            </w:sdtPr>
            <w:sdtEndPr/>
            <w:sdtContent>
              <w:p w14:paraId="0C55D2EA" w14:textId="5803C3A5"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4792D1A8"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579D8" w14:textId="77777777" w:rsidR="00CE7E17" w:rsidRDefault="00CE7E17" w:rsidP="00DF7172">
            <w:pPr>
              <w:jc w:val="both"/>
              <w:rPr>
                <w:color w:val="005F9A"/>
                <w:szCs w:val="20"/>
                <w:lang w:val="es-AR"/>
              </w:rPr>
            </w:pPr>
            <w:r>
              <w:rPr>
                <w:color w:val="005F9A"/>
                <w:lang w:val="es-AR"/>
              </w:rPr>
              <w:t>Evidencia para este criterio de evaluación:</w:t>
            </w:r>
          </w:p>
          <w:p w14:paraId="6CD01255" w14:textId="77777777" w:rsidR="00CE7E17" w:rsidRPr="00C36134" w:rsidRDefault="00CE7E17" w:rsidP="00DF7172">
            <w:pPr>
              <w:jc w:val="both"/>
              <w:rPr>
                <w:color w:val="0000FF"/>
                <w:szCs w:val="20"/>
                <w:lang w:val="es-AR"/>
              </w:rPr>
            </w:pPr>
          </w:p>
          <w:p w14:paraId="5A714C8E" w14:textId="77777777" w:rsidR="00CE7E17" w:rsidRPr="00656F7F" w:rsidRDefault="00CE7E17" w:rsidP="00DF7172">
            <w:pPr>
              <w:spacing w:line="276" w:lineRule="auto"/>
              <w:jc w:val="both"/>
              <w:rPr>
                <w:rFonts w:cs="Arial"/>
                <w:color w:val="0000FF"/>
                <w:sz w:val="18"/>
                <w:szCs w:val="18"/>
                <w:lang w:val="es-AR"/>
              </w:rPr>
            </w:pPr>
          </w:p>
        </w:tc>
      </w:tr>
    </w:tbl>
    <w:p w14:paraId="655BA0D7" w14:textId="77777777" w:rsidR="00CE7E17" w:rsidRPr="00656F7F" w:rsidRDefault="00CE7E17" w:rsidP="00DF7172">
      <w:pPr>
        <w:pStyle w:val="section-title"/>
        <w:jc w:val="both"/>
      </w:pPr>
    </w:p>
    <w:p w14:paraId="36FF59D9" w14:textId="77777777" w:rsidR="00CE4737" w:rsidRPr="00383F06" w:rsidRDefault="00CE4737"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8780"/>
      </w:tblGrid>
      <w:tr w:rsidR="00EC3153" w:rsidRPr="00DF7172" w14:paraId="3CBEF2D1" w14:textId="77777777" w:rsidTr="00EC3153">
        <w:trPr>
          <w:trHeight w:val="1440"/>
        </w:trPr>
        <w:tc>
          <w:tcPr>
            <w:tcW w:w="5000" w:type="pct"/>
            <w:tcBorders>
              <w:top w:val="single" w:sz="4" w:space="0" w:color="auto"/>
              <w:left w:val="single" w:sz="4" w:space="0" w:color="auto"/>
              <w:bottom w:val="single" w:sz="4" w:space="0" w:color="auto"/>
              <w:right w:val="single" w:sz="4" w:space="0" w:color="auto"/>
            </w:tcBorders>
          </w:tcPr>
          <w:p w14:paraId="7D194DD2" w14:textId="77777777" w:rsidR="00EA4E25" w:rsidRDefault="00EA4E25"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4A0BAB7F" w14:textId="2AE3B812" w:rsidR="00EC3153" w:rsidRPr="00656F7F" w:rsidRDefault="00EC3153" w:rsidP="00DF7172">
            <w:pPr>
              <w:jc w:val="both"/>
              <w:rPr>
                <w:i/>
                <w:szCs w:val="20"/>
                <w:lang w:val="es-AR"/>
              </w:rPr>
            </w:pPr>
          </w:p>
        </w:tc>
      </w:tr>
    </w:tbl>
    <w:p w14:paraId="63F87D9E" w14:textId="77777777" w:rsidR="00EA4E25" w:rsidRPr="00656F7F" w:rsidRDefault="00EA4E25" w:rsidP="00DF7172">
      <w:pPr>
        <w:pStyle w:val="section-title"/>
        <w:jc w:val="both"/>
      </w:pPr>
    </w:p>
    <w:p w14:paraId="331AF551" w14:textId="46B2F055" w:rsidR="00EC3153" w:rsidRPr="004D0354" w:rsidRDefault="00CE4737" w:rsidP="00DF7172">
      <w:pPr>
        <w:pStyle w:val="section-title"/>
        <w:jc w:val="both"/>
      </w:pPr>
      <w:r>
        <w:t>Fuentes y lecturas adicionales</w:t>
      </w:r>
    </w:p>
    <w:p w14:paraId="5FD1F6C9" w14:textId="41BED76B" w:rsidR="001B7E82" w:rsidRPr="004D0354" w:rsidRDefault="001B7E82" w:rsidP="00DF7172">
      <w:pPr>
        <w:numPr>
          <w:ilvl w:val="0"/>
          <w:numId w:val="11"/>
        </w:numPr>
        <w:pBdr>
          <w:top w:val="nil"/>
          <w:left w:val="nil"/>
          <w:bottom w:val="nil"/>
          <w:right w:val="nil"/>
          <w:between w:val="nil"/>
        </w:pBdr>
        <w:ind w:left="562" w:hanging="562"/>
        <w:jc w:val="both"/>
        <w:rPr>
          <w:rFonts w:eastAsia="Arial" w:cs="Arial"/>
          <w:color w:val="000000"/>
          <w:szCs w:val="20"/>
        </w:rPr>
      </w:pPr>
      <w:r w:rsidRPr="004D0354">
        <w:rPr>
          <w:color w:val="000000"/>
        </w:rPr>
        <w:t xml:space="preserve">Inter-Parliamentary Union (IPU), </w:t>
      </w:r>
      <w:hyperlink r:id="rId20">
        <w:r w:rsidRPr="004D0354">
          <w:rPr>
            <w:i/>
            <w:color w:val="0563C1"/>
            <w:u w:val="single"/>
          </w:rPr>
          <w:t>Gender-Sensitive Parliaments:</w:t>
        </w:r>
      </w:hyperlink>
      <w:hyperlink r:id="rId21">
        <w:r w:rsidRPr="004D0354">
          <w:rPr>
            <w:i/>
            <w:color w:val="0563C1"/>
            <w:u w:val="single"/>
          </w:rPr>
          <w:t xml:space="preserve"> A Global Review of Good Practice</w:t>
        </w:r>
      </w:hyperlink>
      <w:r w:rsidRPr="004D0354">
        <w:rPr>
          <w:iCs/>
          <w:color w:val="000000"/>
        </w:rPr>
        <w:t xml:space="preserve">, </w:t>
      </w:r>
      <w:r w:rsidRPr="004D0354">
        <w:rPr>
          <w:color w:val="000000"/>
        </w:rPr>
        <w:t>(2011).</w:t>
      </w:r>
    </w:p>
    <w:p w14:paraId="7A074836" w14:textId="28DDC1B5" w:rsidR="00295648" w:rsidRPr="004D0354" w:rsidRDefault="00295648" w:rsidP="00DF7172">
      <w:pPr>
        <w:numPr>
          <w:ilvl w:val="0"/>
          <w:numId w:val="11"/>
        </w:numPr>
        <w:pBdr>
          <w:top w:val="nil"/>
          <w:left w:val="nil"/>
          <w:bottom w:val="nil"/>
          <w:right w:val="nil"/>
          <w:between w:val="nil"/>
        </w:pBdr>
        <w:ind w:left="562" w:hanging="562"/>
        <w:jc w:val="both"/>
        <w:rPr>
          <w:rFonts w:eastAsia="Arial" w:cs="Arial"/>
          <w:color w:val="000000"/>
          <w:szCs w:val="20"/>
        </w:rPr>
      </w:pPr>
      <w:r w:rsidRPr="004D0354">
        <w:rPr>
          <w:color w:val="000000"/>
        </w:rPr>
        <w:t xml:space="preserve">IPU, </w:t>
      </w:r>
      <w:hyperlink r:id="rId22">
        <w:r w:rsidRPr="004D0354">
          <w:rPr>
            <w:i/>
            <w:color w:val="0563C1"/>
            <w:u w:val="single"/>
          </w:rPr>
          <w:t>Evaluating the gender-sensitivity of parliaments</w:t>
        </w:r>
      </w:hyperlink>
      <w:r w:rsidRPr="004D0354">
        <w:rPr>
          <w:i/>
          <w:color w:val="0563C1"/>
          <w:u w:val="single"/>
        </w:rPr>
        <w:t>: A self-assessment toolkit</w:t>
      </w:r>
      <w:r w:rsidRPr="004D0354">
        <w:rPr>
          <w:i/>
          <w:color w:val="0563C1"/>
        </w:rPr>
        <w:t xml:space="preserve"> </w:t>
      </w:r>
      <w:r w:rsidRPr="004D0354">
        <w:rPr>
          <w:color w:val="000000"/>
        </w:rPr>
        <w:t>(2016).</w:t>
      </w:r>
    </w:p>
    <w:p w14:paraId="79FFB9F7" w14:textId="7626AE79" w:rsidR="00295648" w:rsidRPr="004D0354" w:rsidRDefault="00295648" w:rsidP="00DF7172">
      <w:pPr>
        <w:numPr>
          <w:ilvl w:val="0"/>
          <w:numId w:val="11"/>
        </w:numPr>
        <w:pBdr>
          <w:top w:val="nil"/>
          <w:left w:val="nil"/>
          <w:bottom w:val="nil"/>
          <w:right w:val="nil"/>
          <w:between w:val="nil"/>
        </w:pBdr>
        <w:ind w:left="562" w:hanging="562"/>
        <w:jc w:val="both"/>
        <w:rPr>
          <w:rFonts w:eastAsia="Arial" w:cs="Arial"/>
          <w:color w:val="000000"/>
          <w:szCs w:val="20"/>
        </w:rPr>
      </w:pPr>
      <w:r w:rsidRPr="004D0354">
        <w:rPr>
          <w:color w:val="000000"/>
        </w:rPr>
        <w:t xml:space="preserve">Organization for Security and Co-operation in Europe (OSCE), </w:t>
      </w:r>
      <w:hyperlink r:id="rId23">
        <w:r w:rsidRPr="004D0354">
          <w:rPr>
            <w:i/>
            <w:color w:val="0563C1"/>
            <w:u w:val="single"/>
          </w:rPr>
          <w:t>Making Laws Work for Women and Men:</w:t>
        </w:r>
      </w:hyperlink>
      <w:hyperlink r:id="rId24">
        <w:r w:rsidRPr="004D0354">
          <w:rPr>
            <w:i/>
            <w:color w:val="0563C1"/>
            <w:u w:val="single"/>
          </w:rPr>
          <w:t xml:space="preserve"> A Practical Guide to Gender-Sensitive Legislation</w:t>
        </w:r>
      </w:hyperlink>
      <w:r w:rsidRPr="004D0354">
        <w:rPr>
          <w:i/>
          <w:color w:val="000000"/>
          <w:u w:val="single"/>
        </w:rPr>
        <w:t xml:space="preserve"> </w:t>
      </w:r>
      <w:r w:rsidRPr="004D0354">
        <w:rPr>
          <w:color w:val="000000"/>
        </w:rPr>
        <w:t xml:space="preserve">(2017). </w:t>
      </w:r>
    </w:p>
    <w:p w14:paraId="7A7DD62F" w14:textId="327E06AF" w:rsidR="00295648" w:rsidRPr="00575CC0" w:rsidRDefault="00295648" w:rsidP="00DF7172">
      <w:pPr>
        <w:numPr>
          <w:ilvl w:val="0"/>
          <w:numId w:val="11"/>
        </w:numPr>
        <w:pBdr>
          <w:top w:val="nil"/>
          <w:left w:val="nil"/>
          <w:bottom w:val="nil"/>
          <w:right w:val="nil"/>
          <w:between w:val="nil"/>
        </w:pBdr>
        <w:spacing w:line="276" w:lineRule="auto"/>
        <w:ind w:left="562" w:hanging="562"/>
        <w:jc w:val="both"/>
        <w:rPr>
          <w:rFonts w:eastAsia="Arial" w:cs="Arial"/>
          <w:szCs w:val="20"/>
          <w:lang w:eastAsia="en-GB"/>
        </w:rPr>
      </w:pPr>
      <w:r w:rsidRPr="00575CC0">
        <w:rPr>
          <w:color w:val="000000"/>
        </w:rPr>
        <w:t>United Nations Development Programme (UNDP)</w:t>
      </w:r>
      <w:r w:rsidR="00243670" w:rsidRPr="00575CC0">
        <w:rPr>
          <w:color w:val="000000"/>
        </w:rPr>
        <w:t xml:space="preserve"> and Parliament of the Republic of Fiji</w:t>
      </w:r>
      <w:r w:rsidRPr="00575CC0">
        <w:rPr>
          <w:color w:val="000000"/>
        </w:rPr>
        <w:t xml:space="preserve">, </w:t>
      </w:r>
      <w:hyperlink r:id="rId25">
        <w:r w:rsidRPr="00575CC0">
          <w:rPr>
            <w:i/>
            <w:color w:val="0563C1"/>
            <w:u w:val="single"/>
          </w:rPr>
          <w:t>Scrutinising Legislation from a Gender Perspective</w:t>
        </w:r>
      </w:hyperlink>
      <w:r w:rsidR="00243670" w:rsidRPr="00575CC0">
        <w:rPr>
          <w:i/>
          <w:color w:val="0563C1"/>
          <w:u w:val="single"/>
        </w:rPr>
        <w:t>: A Practical Toolkit</w:t>
      </w:r>
      <w:r w:rsidR="00243670" w:rsidRPr="00575CC0">
        <w:rPr>
          <w:i/>
          <w:color w:val="000000"/>
        </w:rPr>
        <w:t xml:space="preserve"> </w:t>
      </w:r>
      <w:r w:rsidR="00243670" w:rsidRPr="00575CC0">
        <w:rPr>
          <w:iCs/>
          <w:color w:val="000000"/>
        </w:rPr>
        <w:t>(2017).</w:t>
      </w:r>
    </w:p>
    <w:p w14:paraId="7A09070B" w14:textId="04C2C4EF" w:rsidR="00295648" w:rsidRPr="00656F7F" w:rsidRDefault="00CE4737" w:rsidP="00DF7172">
      <w:pPr>
        <w:pStyle w:val="Dimension"/>
        <w:rPr>
          <w:lang w:val="es-AR"/>
        </w:rPr>
      </w:pPr>
      <w:r w:rsidRPr="00656F7F">
        <w:rPr>
          <w:lang w:val="es-AR"/>
        </w:rPr>
        <w:lastRenderedPageBreak/>
        <w:t>Dimensió</w:t>
      </w:r>
      <w:r w:rsidR="007E5D1E" w:rsidRPr="00656F7F">
        <w:rPr>
          <w:lang w:val="es-AR"/>
        </w:rPr>
        <w:t xml:space="preserve">n 5.1.4: </w:t>
      </w:r>
      <w:r w:rsidRPr="00656F7F">
        <w:rPr>
          <w:lang w:val="es-AR"/>
        </w:rPr>
        <w:t>Presupuesto con perspectiva de gé</w:t>
      </w:r>
      <w:r w:rsidR="007E5D1E" w:rsidRPr="00656F7F">
        <w:rPr>
          <w:lang w:val="es-AR"/>
        </w:rPr>
        <w:t>n</w:t>
      </w:r>
      <w:r w:rsidRPr="00656F7F">
        <w:rPr>
          <w:lang w:val="es-AR"/>
        </w:rPr>
        <w:t>ero</w:t>
      </w:r>
    </w:p>
    <w:tbl>
      <w:tblPr>
        <w:tblStyle w:val="TableGrid"/>
        <w:tblW w:w="0" w:type="auto"/>
        <w:shd w:val="clear" w:color="auto" w:fill="EEEEEE"/>
        <w:tblLook w:val="04A0" w:firstRow="1" w:lastRow="0" w:firstColumn="1" w:lastColumn="0" w:noHBand="0" w:noVBand="1"/>
      </w:tblPr>
      <w:tblGrid>
        <w:gridCol w:w="8780"/>
      </w:tblGrid>
      <w:tr w:rsidR="008422F8" w:rsidRPr="004D0354" w14:paraId="35FF5902" w14:textId="77777777" w:rsidTr="008422F8">
        <w:tc>
          <w:tcPr>
            <w:tcW w:w="9350" w:type="dxa"/>
            <w:tcBorders>
              <w:top w:val="single" w:sz="4" w:space="0" w:color="auto"/>
              <w:left w:val="single" w:sz="4" w:space="0" w:color="auto"/>
              <w:bottom w:val="single" w:sz="4" w:space="0" w:color="auto"/>
              <w:right w:val="single" w:sz="4" w:space="0" w:color="auto"/>
            </w:tcBorders>
            <w:shd w:val="clear" w:color="auto" w:fill="EEEEEE"/>
            <w:hideMark/>
          </w:tcPr>
          <w:p w14:paraId="1AA83D93" w14:textId="77777777" w:rsidR="00CE4737" w:rsidRPr="00656F7F" w:rsidRDefault="00CE4737" w:rsidP="00DF7172">
            <w:pPr>
              <w:jc w:val="both"/>
              <w:rPr>
                <w:rFonts w:eastAsia="Arial" w:cs="Arial"/>
                <w:szCs w:val="20"/>
                <w:lang w:val="es-AR"/>
              </w:rPr>
            </w:pPr>
            <w:r w:rsidRPr="00656F7F">
              <w:rPr>
                <w:lang w:val="es-AR"/>
              </w:rPr>
              <w:t>Esta dimensión es parte de:</w:t>
            </w:r>
          </w:p>
          <w:p w14:paraId="434EE633" w14:textId="01281E46" w:rsidR="00CE4737" w:rsidRPr="00656F7F" w:rsidRDefault="00CE4737" w:rsidP="00DF7172">
            <w:pPr>
              <w:pStyle w:val="ListParagraph"/>
              <w:jc w:val="both"/>
              <w:rPr>
                <w:lang w:val="es-AR"/>
              </w:rPr>
            </w:pPr>
            <w:r w:rsidRPr="00656F7F">
              <w:rPr>
                <w:lang w:val="es-AR"/>
              </w:rPr>
              <w:t xml:space="preserve">Indicador 5.1: Elaboración de leyes, </w:t>
            </w:r>
            <w:r w:rsidR="00FF3331" w:rsidRPr="00656F7F">
              <w:rPr>
                <w:lang w:val="es-AR"/>
              </w:rPr>
              <w:t>supervisión</w:t>
            </w:r>
            <w:r w:rsidRPr="00656F7F">
              <w:rPr>
                <w:lang w:val="es-AR"/>
              </w:rPr>
              <w:t xml:space="preserve"> y diseño presupuestario inclusivos</w:t>
            </w:r>
          </w:p>
          <w:p w14:paraId="6E11A54C" w14:textId="57E657A6" w:rsidR="008422F8" w:rsidRPr="004D0354" w:rsidRDefault="00CE4737" w:rsidP="00DF7172">
            <w:pPr>
              <w:pStyle w:val="ListParagraph"/>
              <w:jc w:val="both"/>
              <w:rPr>
                <w:sz w:val="24"/>
              </w:rPr>
            </w:pPr>
            <w:r>
              <w:t xml:space="preserve">Meta 5: </w:t>
            </w:r>
            <w:r w:rsidR="00DF7172">
              <w:t>Parlamentos i</w:t>
            </w:r>
            <w:r w:rsidR="00DF7172" w:rsidRPr="004D0354">
              <w:t>nclusiv</w:t>
            </w:r>
            <w:r w:rsidR="00DF7172">
              <w:t>os</w:t>
            </w:r>
          </w:p>
        </w:tc>
      </w:tr>
    </w:tbl>
    <w:p w14:paraId="20D2DFA4" w14:textId="77777777" w:rsidR="00580D1B" w:rsidRPr="001335DD" w:rsidRDefault="00580D1B" w:rsidP="00DF7172">
      <w:pPr>
        <w:pStyle w:val="section-title"/>
        <w:jc w:val="both"/>
      </w:pPr>
      <w:r>
        <w:t>Acerca de esta dimensión</w:t>
      </w:r>
    </w:p>
    <w:p w14:paraId="2D6239FA" w14:textId="7D07C25A" w:rsidR="00295648" w:rsidRPr="00DF7172" w:rsidRDefault="00281A68" w:rsidP="00DF7172">
      <w:pPr>
        <w:jc w:val="both"/>
        <w:rPr>
          <w:lang w:val="es-US"/>
        </w:rPr>
      </w:pPr>
      <w:r w:rsidRPr="00DF7172">
        <w:rPr>
          <w:lang w:val="es-US"/>
        </w:rPr>
        <w:t>Esta dimensión refiere al diseño presupuestario con enfoque de género, que implica la integración de perspectiva de género en lo que hace a la aprobación y supervisión del presupuesto nacional por parte del Parlamento.</w:t>
      </w:r>
    </w:p>
    <w:p w14:paraId="2C56F58D" w14:textId="77777777" w:rsidR="00295648" w:rsidRPr="00281A68" w:rsidRDefault="00295648" w:rsidP="00DF7172">
      <w:pPr>
        <w:jc w:val="both"/>
        <w:rPr>
          <w:rFonts w:eastAsia="Arial" w:cs="Arial"/>
          <w:szCs w:val="20"/>
          <w:lang w:val="es-AR" w:eastAsia="en-GB"/>
        </w:rPr>
      </w:pPr>
    </w:p>
    <w:p w14:paraId="1F16F1E0" w14:textId="62D37762" w:rsidR="00295648" w:rsidRPr="00E5692B" w:rsidRDefault="00281A68" w:rsidP="00DF7172">
      <w:pPr>
        <w:jc w:val="both"/>
        <w:rPr>
          <w:lang w:val="es-AR"/>
        </w:rPr>
      </w:pPr>
      <w:r w:rsidRPr="00281A68">
        <w:rPr>
          <w:lang w:val="es-AR"/>
        </w:rPr>
        <w:t>El diseño presupuestario con enfoque de género es una práctica adoptada por muchos parlamentos en todo el mundo, que permite comprender cómo y hasta qu</w:t>
      </w:r>
      <w:r>
        <w:rPr>
          <w:lang w:val="es-AR"/>
        </w:rPr>
        <w:t xml:space="preserve">é punto una determinada política pública afecta a hombres y mujeres. </w:t>
      </w:r>
      <w:r w:rsidRPr="00281A68">
        <w:rPr>
          <w:lang w:val="es-AR"/>
        </w:rPr>
        <w:t xml:space="preserve">En muchos países, el Ejecutivo incluye este tipo de análisis en el </w:t>
      </w:r>
      <w:r w:rsidR="00E5692B">
        <w:rPr>
          <w:lang w:val="es-AR"/>
        </w:rPr>
        <w:t>proyecto de</w:t>
      </w:r>
      <w:r w:rsidRPr="00281A68">
        <w:rPr>
          <w:lang w:val="es-AR"/>
        </w:rPr>
        <w:t xml:space="preserve"> presupuesto nacional en la forma de </w:t>
      </w:r>
      <w:r w:rsidR="00E5692B">
        <w:rPr>
          <w:lang w:val="es-AR"/>
        </w:rPr>
        <w:t>un informe presupuestario</w:t>
      </w:r>
      <w:r w:rsidRPr="00281A68">
        <w:rPr>
          <w:lang w:val="es-AR"/>
        </w:rPr>
        <w:t xml:space="preserve"> de g</w:t>
      </w:r>
      <w:r>
        <w:rPr>
          <w:lang w:val="es-AR"/>
        </w:rPr>
        <w:t xml:space="preserve">énero. </w:t>
      </w:r>
      <w:r w:rsidRPr="00281A68">
        <w:rPr>
          <w:lang w:val="es-AR"/>
        </w:rPr>
        <w:t xml:space="preserve">De esta forma, el Parlamento puede indagar sobre las prioridades presupuestarias y </w:t>
      </w:r>
      <w:r w:rsidR="00E5692B">
        <w:rPr>
          <w:lang w:val="es-AR"/>
        </w:rPr>
        <w:t>examina</w:t>
      </w:r>
      <w:r w:rsidRPr="00281A68">
        <w:rPr>
          <w:lang w:val="es-AR"/>
        </w:rPr>
        <w:t>r en qué medida el Ejecutivo se encuentra aplicando políticas que promuevan la igualda</w:t>
      </w:r>
      <w:r>
        <w:rPr>
          <w:lang w:val="es-AR"/>
        </w:rPr>
        <w:t xml:space="preserve">d de género, y puede </w:t>
      </w:r>
      <w:r w:rsidR="00E5692B">
        <w:rPr>
          <w:lang w:val="es-AR"/>
        </w:rPr>
        <w:t>así</w:t>
      </w:r>
      <w:r>
        <w:rPr>
          <w:lang w:val="es-AR"/>
        </w:rPr>
        <w:t xml:space="preserve"> influir en la formulación de políticas públicas desde el principio, en su fase de planificación.</w:t>
      </w:r>
    </w:p>
    <w:p w14:paraId="0D5CBCA1" w14:textId="77777777" w:rsidR="00D226BB" w:rsidRPr="00E5692B" w:rsidRDefault="00D226BB" w:rsidP="00DF7172">
      <w:pPr>
        <w:jc w:val="both"/>
        <w:rPr>
          <w:lang w:val="es-AR"/>
        </w:rPr>
      </w:pPr>
    </w:p>
    <w:p w14:paraId="74C52EA7" w14:textId="67236DA8" w:rsidR="00D226BB" w:rsidRPr="00E5692B" w:rsidRDefault="00281A68" w:rsidP="00DF7172">
      <w:pPr>
        <w:jc w:val="both"/>
        <w:rPr>
          <w:rFonts w:eastAsia="Arial" w:cs="Arial"/>
          <w:szCs w:val="20"/>
          <w:lang w:val="es-AR"/>
        </w:rPr>
      </w:pPr>
      <w:r w:rsidRPr="00281A68">
        <w:rPr>
          <w:lang w:val="es-AR"/>
        </w:rPr>
        <w:t xml:space="preserve">Muchos parlamentos tienen uno o varios órganos dedicados </w:t>
      </w:r>
      <w:r w:rsidR="00E5692B">
        <w:rPr>
          <w:lang w:val="es-AR"/>
        </w:rPr>
        <w:t>responsables de</w:t>
      </w:r>
      <w:r w:rsidRPr="00281A68">
        <w:rPr>
          <w:lang w:val="es-AR"/>
        </w:rPr>
        <w:t xml:space="preserve"> apoyar y supervisar el diseño presupuestario con perspectiva de género en todo el Parlamento, como las comisiones o subcomisiones parlamentarias, grupos de trabajo o redes. </w:t>
      </w:r>
      <w:r w:rsidR="00E5692B" w:rsidRPr="00E5692B">
        <w:rPr>
          <w:lang w:val="es-AR"/>
        </w:rPr>
        <w:t xml:space="preserve">Las respectivas comisiones pueden también llevar </w:t>
      </w:r>
      <w:r w:rsidR="00E5692B">
        <w:rPr>
          <w:lang w:val="es-AR"/>
        </w:rPr>
        <w:t>a</w:t>
      </w:r>
      <w:r w:rsidR="00E5692B" w:rsidRPr="00E5692B">
        <w:rPr>
          <w:lang w:val="es-AR"/>
        </w:rPr>
        <w:t xml:space="preserve">delante sus propias </w:t>
      </w:r>
      <w:r w:rsidR="00E5692B">
        <w:rPr>
          <w:lang w:val="es-AR"/>
        </w:rPr>
        <w:t>revisiones</w:t>
      </w:r>
      <w:r w:rsidR="00E5692B" w:rsidRPr="00E5692B">
        <w:rPr>
          <w:lang w:val="es-AR"/>
        </w:rPr>
        <w:t xml:space="preserve"> sectoriales del presupuesto con enfoque de g</w:t>
      </w:r>
      <w:r w:rsidR="00E5692B">
        <w:rPr>
          <w:lang w:val="es-AR"/>
        </w:rPr>
        <w:t xml:space="preserve">énero. </w:t>
      </w:r>
    </w:p>
    <w:p w14:paraId="4E49D512" w14:textId="77777777" w:rsidR="00295648" w:rsidRPr="00E5692B" w:rsidRDefault="00295648" w:rsidP="00DF7172">
      <w:pPr>
        <w:jc w:val="both"/>
        <w:rPr>
          <w:rFonts w:eastAsia="Arial" w:cs="Arial"/>
          <w:szCs w:val="20"/>
          <w:lang w:val="es-AR" w:eastAsia="en-GB"/>
        </w:rPr>
      </w:pPr>
    </w:p>
    <w:p w14:paraId="0180044F" w14:textId="6BAC6067" w:rsidR="00295648" w:rsidRPr="00E5692B" w:rsidRDefault="00E5692B" w:rsidP="00DF7172">
      <w:pPr>
        <w:jc w:val="both"/>
        <w:rPr>
          <w:rFonts w:eastAsia="Arial" w:cs="Arial"/>
          <w:color w:val="000000"/>
          <w:szCs w:val="20"/>
          <w:lang w:val="es-AR"/>
        </w:rPr>
      </w:pPr>
      <w:r w:rsidRPr="00E5692B">
        <w:rPr>
          <w:color w:val="000000"/>
          <w:lang w:val="es-AR"/>
        </w:rPr>
        <w:t xml:space="preserve">El grado en el que los parlamentos pueden adoptar prácticas presupuestarias con enfoque de género depende de muchos factores contextuales, como el marco legal, el mandato del Parlamento con respecto al proceso presupuestario, y el tiempo, recursos y capacidades disponibles. </w:t>
      </w:r>
    </w:p>
    <w:p w14:paraId="2A895201" w14:textId="11780592" w:rsidR="00D5303D" w:rsidRPr="00CE4737" w:rsidRDefault="00CE4737" w:rsidP="00DF7172">
      <w:pPr>
        <w:pStyle w:val="section-title"/>
        <w:jc w:val="both"/>
      </w:pPr>
      <w:r>
        <w:t>Objetivo al que se aspira</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F2F2F2" w:themeFill="background1" w:themeFillShade="F2"/>
        <w:tblLook w:val="0400" w:firstRow="0" w:lastRow="0" w:firstColumn="0" w:lastColumn="0" w:noHBand="0" w:noVBand="1"/>
      </w:tblPr>
      <w:tblGrid>
        <w:gridCol w:w="8780"/>
      </w:tblGrid>
      <w:tr w:rsidR="00295648" w:rsidRPr="003F33A4" w14:paraId="1DB742E0" w14:textId="77777777" w:rsidTr="008422F8">
        <w:trPr>
          <w:trHeight w:val="626"/>
        </w:trPr>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tcPr>
          <w:p w14:paraId="57E9765B" w14:textId="70A23150" w:rsidR="00E5692B" w:rsidRPr="00E5692B" w:rsidRDefault="00EA4E25" w:rsidP="00DF7172">
            <w:pPr>
              <w:jc w:val="both"/>
              <w:rPr>
                <w:sz w:val="10"/>
                <w:lang w:val="es-AR"/>
              </w:rPr>
            </w:pPr>
            <w:r>
              <w:rPr>
                <w:i/>
                <w:lang w:val="es-AR"/>
              </w:rPr>
              <w:t xml:space="preserve">Basado en un análisis comparativo mundial, un objetivo al que aspiran los parlamentos en el ámbito de </w:t>
            </w:r>
            <w:r w:rsidR="00B1448D" w:rsidRPr="00656F7F">
              <w:rPr>
                <w:i/>
                <w:lang w:val="es-AR"/>
              </w:rPr>
              <w:t>“</w:t>
            </w:r>
            <w:r w:rsidR="00306087">
              <w:rPr>
                <w:i/>
                <w:lang w:val="es-AR"/>
              </w:rPr>
              <w:t xml:space="preserve">presupuesto </w:t>
            </w:r>
            <w:r w:rsidRPr="00656F7F">
              <w:rPr>
                <w:i/>
                <w:lang w:val="es-AR"/>
              </w:rPr>
              <w:t>con perspectiva con género” es el siguiente</w:t>
            </w:r>
            <w:r w:rsidR="00295648" w:rsidRPr="00656F7F">
              <w:rPr>
                <w:i/>
                <w:lang w:val="es-AR"/>
              </w:rPr>
              <w:t>:</w:t>
            </w:r>
            <w:r w:rsidR="00E5692B" w:rsidRPr="00E5692B">
              <w:rPr>
                <w:lang w:val="es-AR"/>
              </w:rPr>
              <w:br/>
            </w:r>
          </w:p>
          <w:p w14:paraId="683DC9FD" w14:textId="2768495A" w:rsidR="00EF72F2" w:rsidRDefault="00334DF7" w:rsidP="00DF7172">
            <w:pPr>
              <w:jc w:val="both"/>
              <w:rPr>
                <w:lang w:val="es-AR"/>
              </w:rPr>
            </w:pPr>
            <w:r>
              <w:rPr>
                <w:lang w:val="es-AR"/>
              </w:rPr>
              <w:t xml:space="preserve">El marco legal requiere </w:t>
            </w:r>
            <w:r w:rsidR="00E5692B" w:rsidRPr="00E5692B">
              <w:rPr>
                <w:lang w:val="es-AR"/>
              </w:rPr>
              <w:t>que el Ejecutivo produzca un informe presupuestario de género que acompañe al proyecto de presupuesto nacional.</w:t>
            </w:r>
            <w:r w:rsidR="00F90788" w:rsidRPr="00E5692B">
              <w:rPr>
                <w:lang w:val="es-AR"/>
              </w:rPr>
              <w:t xml:space="preserve"> </w:t>
            </w:r>
          </w:p>
          <w:p w14:paraId="50F7E053" w14:textId="77777777" w:rsidR="00E5692B" w:rsidRPr="00E5692B" w:rsidRDefault="00E5692B" w:rsidP="00DF7172">
            <w:pPr>
              <w:jc w:val="both"/>
              <w:rPr>
                <w:i/>
                <w:sz w:val="10"/>
                <w:lang w:val="es-AR"/>
              </w:rPr>
            </w:pPr>
          </w:p>
          <w:p w14:paraId="1D80E7B4" w14:textId="05A6819D" w:rsidR="00F90788" w:rsidRPr="00E5692B" w:rsidRDefault="00E5692B" w:rsidP="00DF7172">
            <w:pPr>
              <w:jc w:val="both"/>
              <w:rPr>
                <w:lang w:val="es-AR"/>
              </w:rPr>
            </w:pPr>
            <w:r w:rsidRPr="00E5692B">
              <w:rPr>
                <w:lang w:val="es-AR"/>
              </w:rPr>
              <w:t>El Parl</w:t>
            </w:r>
            <w:r w:rsidR="00F90788" w:rsidRPr="00E5692B">
              <w:rPr>
                <w:lang w:val="es-AR"/>
              </w:rPr>
              <w:t>ament</w:t>
            </w:r>
            <w:r w:rsidRPr="00E5692B">
              <w:rPr>
                <w:lang w:val="es-AR"/>
              </w:rPr>
              <w:t>o tiene uno o varios órganos dedicados responsables de apoyar el diseño presupuestario con perspectiva de g</w:t>
            </w:r>
            <w:r>
              <w:rPr>
                <w:lang w:val="es-AR"/>
              </w:rPr>
              <w:t>énero, los cuales establecieron procedimientos y facultades para obtener información suplementaria por parte del Ejecutivo.</w:t>
            </w:r>
          </w:p>
          <w:p w14:paraId="069B2F0F" w14:textId="77777777" w:rsidR="00F90788" w:rsidRPr="00E5692B" w:rsidRDefault="00F90788" w:rsidP="00DF7172">
            <w:pPr>
              <w:jc w:val="both"/>
              <w:rPr>
                <w:sz w:val="10"/>
                <w:lang w:val="es-AR"/>
              </w:rPr>
            </w:pPr>
          </w:p>
          <w:p w14:paraId="0381982A" w14:textId="0557CAFB" w:rsidR="002255AE" w:rsidRPr="00E5692B" w:rsidRDefault="00E5692B" w:rsidP="00DF7172">
            <w:pPr>
              <w:jc w:val="both"/>
              <w:rPr>
                <w:lang w:val="es-AR"/>
              </w:rPr>
            </w:pPr>
            <w:r w:rsidRPr="00E5692B">
              <w:rPr>
                <w:lang w:val="es-AR"/>
              </w:rPr>
              <w:t>El Parl</w:t>
            </w:r>
            <w:r w:rsidR="00F90788" w:rsidRPr="00E5692B">
              <w:rPr>
                <w:lang w:val="es-AR"/>
              </w:rPr>
              <w:t>ament</w:t>
            </w:r>
            <w:r w:rsidRPr="00E5692B">
              <w:rPr>
                <w:lang w:val="es-AR"/>
              </w:rPr>
              <w:t>o tiene la suficiente capacidad de investigación y an</w:t>
            </w:r>
            <w:r>
              <w:rPr>
                <w:lang w:val="es-AR"/>
              </w:rPr>
              <w:t xml:space="preserve">álisis como para sostener un diseño presupuestario con perspectiva de género. Los legisladores tienen acceso a capacitaciones y entrenamiento en la materia y a información necesaria para apuntalar su trabajo. </w:t>
            </w:r>
          </w:p>
        </w:tc>
      </w:tr>
    </w:tbl>
    <w:p w14:paraId="6A441FB1" w14:textId="77777777" w:rsidR="00CE4737" w:rsidRPr="00680D03" w:rsidRDefault="00CE4737" w:rsidP="00DF7172">
      <w:pPr>
        <w:pStyle w:val="section-title"/>
        <w:jc w:val="both"/>
      </w:pPr>
      <w:r w:rsidRPr="00680D03">
        <w:t>Evaluación</w:t>
      </w:r>
    </w:p>
    <w:p w14:paraId="55583928" w14:textId="77777777" w:rsidR="00EF72F2" w:rsidRDefault="00EF72F2"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300FB702" w14:textId="3401B773" w:rsidR="00D5303D" w:rsidRPr="00EF72F2" w:rsidRDefault="00EF72F2" w:rsidP="00DF7172">
      <w:pPr>
        <w:spacing w:before="120" w:after="120"/>
        <w:jc w:val="both"/>
        <w:rPr>
          <w:lang w:val="es-AR"/>
        </w:rPr>
      </w:pPr>
      <w:r>
        <w:rPr>
          <w:lang w:val="es-AR"/>
        </w:rPr>
        <w:t>La evidencia para la evaluación de esta dimensión podría incluir lo siguiente:</w:t>
      </w:r>
    </w:p>
    <w:p w14:paraId="2CAA07E5" w14:textId="2BF05273" w:rsidR="00295648" w:rsidRPr="00D76E34" w:rsidRDefault="00D76E34" w:rsidP="00DF7172">
      <w:pPr>
        <w:numPr>
          <w:ilvl w:val="0"/>
          <w:numId w:val="18"/>
        </w:numPr>
        <w:pBdr>
          <w:top w:val="nil"/>
          <w:left w:val="nil"/>
          <w:bottom w:val="nil"/>
          <w:right w:val="nil"/>
          <w:between w:val="nil"/>
        </w:pBdr>
        <w:ind w:left="562" w:hanging="562"/>
        <w:jc w:val="both"/>
        <w:rPr>
          <w:rFonts w:eastAsia="Arial" w:cs="Arial"/>
          <w:color w:val="000000"/>
          <w:szCs w:val="20"/>
          <w:lang w:val="es-AR"/>
        </w:rPr>
      </w:pPr>
      <w:r w:rsidRPr="00D76E34">
        <w:rPr>
          <w:color w:val="000000"/>
          <w:lang w:val="es-AR"/>
        </w:rPr>
        <w:t>Disposiciones reglamentarias del Parlamento que establecen órganos de apoyo al diseño presupuestario con perspectiva de g</w:t>
      </w:r>
      <w:r>
        <w:rPr>
          <w:color w:val="000000"/>
          <w:lang w:val="es-AR"/>
        </w:rPr>
        <w:t>énero, como comisiones o subcomisiones de igualdad de género.</w:t>
      </w:r>
    </w:p>
    <w:p w14:paraId="11FDB9A1" w14:textId="47D5A2C1" w:rsidR="00295648" w:rsidRPr="00D42F95" w:rsidRDefault="00D76E34" w:rsidP="00DF7172">
      <w:pPr>
        <w:numPr>
          <w:ilvl w:val="0"/>
          <w:numId w:val="18"/>
        </w:numPr>
        <w:pBdr>
          <w:top w:val="nil"/>
          <w:left w:val="nil"/>
          <w:bottom w:val="nil"/>
          <w:right w:val="nil"/>
          <w:between w:val="nil"/>
        </w:pBdr>
        <w:ind w:left="562" w:hanging="562"/>
        <w:jc w:val="both"/>
        <w:rPr>
          <w:rFonts w:eastAsia="Arial" w:cs="Arial"/>
          <w:color w:val="000000"/>
          <w:szCs w:val="20"/>
          <w:lang w:val="es-AR"/>
        </w:rPr>
      </w:pPr>
      <w:r w:rsidRPr="00D42F95">
        <w:rPr>
          <w:color w:val="000000"/>
          <w:lang w:val="es-AR"/>
        </w:rPr>
        <w:t>Disposiciones reglamentarias del Parlamento que brindan oportunidades al p</w:t>
      </w:r>
      <w:r w:rsidR="00D42F95" w:rsidRPr="00D42F95">
        <w:rPr>
          <w:color w:val="000000"/>
          <w:lang w:val="es-AR"/>
        </w:rPr>
        <w:t>úblico en general y otros grupos u organizaciones para involucrarse en el proceso presupuestario.</w:t>
      </w:r>
    </w:p>
    <w:p w14:paraId="4DC71C5F" w14:textId="34A007F2" w:rsidR="00295648" w:rsidRPr="00D42F95" w:rsidRDefault="00295648" w:rsidP="00DF7172">
      <w:pPr>
        <w:numPr>
          <w:ilvl w:val="0"/>
          <w:numId w:val="18"/>
        </w:numPr>
        <w:pBdr>
          <w:top w:val="nil"/>
          <w:left w:val="nil"/>
          <w:bottom w:val="nil"/>
          <w:right w:val="nil"/>
          <w:between w:val="nil"/>
        </w:pBdr>
        <w:ind w:left="562" w:hanging="562"/>
        <w:jc w:val="both"/>
        <w:rPr>
          <w:rFonts w:eastAsia="Arial" w:cs="Arial"/>
          <w:color w:val="000000"/>
          <w:szCs w:val="20"/>
          <w:lang w:val="es-AR"/>
        </w:rPr>
      </w:pPr>
      <w:r w:rsidRPr="00D42F95">
        <w:rPr>
          <w:color w:val="000000"/>
          <w:lang w:val="es-AR"/>
        </w:rPr>
        <w:t>T</w:t>
      </w:r>
      <w:r w:rsidR="00D42F95" w:rsidRPr="00D42F95">
        <w:rPr>
          <w:color w:val="000000"/>
          <w:lang w:val="es-AR"/>
        </w:rPr>
        <w:t>érminos de referencia de comisiones o subcomisiones parlamentarias que indiquen sus responsabilidades en el diseño presupuestario con perspectiva de g</w:t>
      </w:r>
      <w:r w:rsidR="00D42F95">
        <w:rPr>
          <w:color w:val="000000"/>
          <w:lang w:val="es-AR"/>
        </w:rPr>
        <w:t>énero</w:t>
      </w:r>
    </w:p>
    <w:p w14:paraId="6A983BE8" w14:textId="1891748F" w:rsidR="00295648" w:rsidRPr="00D42F95" w:rsidRDefault="00D42F95" w:rsidP="00DF7172">
      <w:pPr>
        <w:numPr>
          <w:ilvl w:val="0"/>
          <w:numId w:val="18"/>
        </w:numPr>
        <w:pBdr>
          <w:top w:val="nil"/>
          <w:left w:val="nil"/>
          <w:bottom w:val="nil"/>
          <w:right w:val="nil"/>
          <w:between w:val="nil"/>
        </w:pBdr>
        <w:ind w:left="562" w:hanging="562"/>
        <w:jc w:val="both"/>
        <w:rPr>
          <w:rFonts w:eastAsia="Arial" w:cs="Arial"/>
          <w:color w:val="000000"/>
          <w:szCs w:val="20"/>
          <w:lang w:val="es-AR"/>
        </w:rPr>
      </w:pPr>
      <w:r w:rsidRPr="00D42F95">
        <w:rPr>
          <w:color w:val="000000"/>
          <w:lang w:val="es-AR"/>
        </w:rPr>
        <w:lastRenderedPageBreak/>
        <w:t>Datos desglo</w:t>
      </w:r>
      <w:r>
        <w:rPr>
          <w:color w:val="000000"/>
          <w:lang w:val="es-AR"/>
        </w:rPr>
        <w:t>s</w:t>
      </w:r>
      <w:r w:rsidRPr="00D42F95">
        <w:rPr>
          <w:color w:val="000000"/>
          <w:lang w:val="es-AR"/>
        </w:rPr>
        <w:t>ados por sexo provistos por la administración parlamentaria y/o institutos nacionales de estad</w:t>
      </w:r>
      <w:r>
        <w:rPr>
          <w:color w:val="000000"/>
          <w:lang w:val="es-AR"/>
        </w:rPr>
        <w:t>ísticas</w:t>
      </w:r>
    </w:p>
    <w:p w14:paraId="6D3F137D" w14:textId="4118ADA9" w:rsidR="00295648" w:rsidRPr="00D42F95" w:rsidRDefault="00D42F95" w:rsidP="00DF7172">
      <w:pPr>
        <w:numPr>
          <w:ilvl w:val="0"/>
          <w:numId w:val="18"/>
        </w:numPr>
        <w:pBdr>
          <w:top w:val="nil"/>
          <w:left w:val="nil"/>
          <w:bottom w:val="nil"/>
          <w:right w:val="nil"/>
          <w:between w:val="nil"/>
        </w:pBdr>
        <w:ind w:left="562" w:hanging="562"/>
        <w:jc w:val="both"/>
        <w:rPr>
          <w:rFonts w:eastAsia="Arial" w:cs="Arial"/>
          <w:color w:val="000000"/>
          <w:szCs w:val="20"/>
          <w:lang w:val="es-AR"/>
        </w:rPr>
      </w:pPr>
      <w:r w:rsidRPr="00D42F95">
        <w:rPr>
          <w:color w:val="000000"/>
          <w:lang w:val="es-AR"/>
        </w:rPr>
        <w:t>Detalles sobre las capacitaciones provistas a los legisladores sobre el diseño presupuestario con perspectiva de género</w:t>
      </w:r>
      <w:r>
        <w:rPr>
          <w:color w:val="000000"/>
          <w:lang w:val="es-AR"/>
        </w:rPr>
        <w:t>, incluyendo materiales de capacitación</w:t>
      </w:r>
      <w:r w:rsidRPr="00D42F95">
        <w:rPr>
          <w:color w:val="000000"/>
          <w:lang w:val="es-AR"/>
        </w:rPr>
        <w:t xml:space="preserve"> o informes</w:t>
      </w:r>
      <w:r>
        <w:rPr>
          <w:color w:val="000000"/>
          <w:lang w:val="es-AR"/>
        </w:rPr>
        <w:t xml:space="preserve"> de la administración parlamentaria o fuentes externas calificadas.</w:t>
      </w:r>
      <w:r w:rsidR="00295648" w:rsidRPr="00D42F95">
        <w:rPr>
          <w:color w:val="000000"/>
          <w:lang w:val="es-AR"/>
        </w:rPr>
        <w:t xml:space="preserve"> </w:t>
      </w:r>
    </w:p>
    <w:p w14:paraId="65EC8803" w14:textId="31F9D7DE" w:rsidR="00D5303D" w:rsidRPr="00DF7172" w:rsidRDefault="00D42F95" w:rsidP="00DF7172">
      <w:pPr>
        <w:numPr>
          <w:ilvl w:val="0"/>
          <w:numId w:val="18"/>
        </w:numPr>
        <w:pBdr>
          <w:top w:val="nil"/>
          <w:left w:val="nil"/>
          <w:bottom w:val="nil"/>
          <w:right w:val="nil"/>
          <w:between w:val="nil"/>
        </w:pBdr>
        <w:spacing w:after="120"/>
        <w:ind w:left="562" w:hanging="562"/>
        <w:jc w:val="both"/>
        <w:rPr>
          <w:rFonts w:eastAsia="Arial" w:cs="Arial"/>
          <w:color w:val="000000"/>
          <w:szCs w:val="20"/>
          <w:lang w:val="es-US"/>
        </w:rPr>
      </w:pPr>
      <w:r w:rsidRPr="00D42F95">
        <w:rPr>
          <w:color w:val="000000"/>
          <w:lang w:val="es-AR"/>
        </w:rPr>
        <w:t xml:space="preserve">Registros formales de procedimientos operativos habituales </w:t>
      </w:r>
      <w:r>
        <w:rPr>
          <w:color w:val="000000"/>
          <w:lang w:val="es-AR"/>
        </w:rPr>
        <w:t xml:space="preserve">para el proceso del diseño presupuestario con perspectiva de género en el Parlamento. </w:t>
      </w:r>
    </w:p>
    <w:p w14:paraId="3C6D8F14" w14:textId="77777777" w:rsidR="007E7F51" w:rsidRDefault="007E7F51" w:rsidP="00DF7172">
      <w:pPr>
        <w:spacing w:before="120" w:after="120"/>
        <w:jc w:val="both"/>
        <w:rPr>
          <w:szCs w:val="20"/>
          <w:lang w:val="es-AR"/>
        </w:rPr>
      </w:pPr>
      <w:r>
        <w:rPr>
          <w:lang w:val="es-AR"/>
        </w:rPr>
        <w:t>Cuando corresponda, proporcione comentarios adicionales o ejemplos que respalden la evaluación.</w:t>
      </w:r>
    </w:p>
    <w:p w14:paraId="2FC2507F" w14:textId="42DF5866" w:rsidR="00295648" w:rsidRPr="00D76E34" w:rsidRDefault="00CE4737" w:rsidP="00DF7172">
      <w:pPr>
        <w:pStyle w:val="Heading4"/>
        <w:jc w:val="both"/>
        <w:rPr>
          <w:rFonts w:cstheme="majorBidi"/>
          <w:lang w:val="es-AR"/>
        </w:rPr>
      </w:pPr>
      <w:r w:rsidRPr="00D76E34">
        <w:rPr>
          <w:lang w:val="es-AR"/>
        </w:rPr>
        <w:t xml:space="preserve">Criterio de evaluación </w:t>
      </w:r>
      <w:r w:rsidR="008820D9" w:rsidRPr="00D76E34">
        <w:rPr>
          <w:lang w:val="es-AR"/>
        </w:rPr>
        <w:t>1</w:t>
      </w:r>
      <w:r w:rsidR="00295648" w:rsidRPr="00D76E34">
        <w:rPr>
          <w:lang w:val="es-AR"/>
        </w:rPr>
        <w:t xml:space="preserve">: </w:t>
      </w:r>
      <w:r w:rsidR="00D76E34" w:rsidRPr="00D76E34">
        <w:rPr>
          <w:lang w:val="es-AR"/>
        </w:rPr>
        <w:t>Informe presupuestario de género</w:t>
      </w:r>
      <w:r w:rsidR="00295648" w:rsidRPr="00D76E34">
        <w:rPr>
          <w:lang w:val="es-AR"/>
        </w:rPr>
        <w:t xml:space="preserve"> </w:t>
      </w:r>
    </w:p>
    <w:p w14:paraId="54F63F31" w14:textId="550CB19B" w:rsidR="00295648" w:rsidRPr="00DF7172" w:rsidRDefault="00334DF7" w:rsidP="00DF7172">
      <w:pPr>
        <w:spacing w:after="120"/>
        <w:jc w:val="both"/>
        <w:rPr>
          <w:rFonts w:eastAsia="Arial" w:cs="Arial"/>
          <w:szCs w:val="20"/>
          <w:lang w:val="es-US"/>
        </w:rPr>
      </w:pPr>
      <w:r w:rsidRPr="00334DF7">
        <w:rPr>
          <w:lang w:val="es-AR"/>
        </w:rPr>
        <w:t xml:space="preserve">El marco legal requiere que el Ejecutivo produzca un informe presupuestario de género que acompañe al proyecto de presupuesto nacional. </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CE7E17" w:rsidRPr="004D0354" w14:paraId="12BFC790"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4681083" w14:textId="77777777" w:rsidR="00CE7E17" w:rsidRDefault="00CE7E17" w:rsidP="00DF7172">
            <w:pPr>
              <w:jc w:val="both"/>
              <w:rPr>
                <w:szCs w:val="20"/>
              </w:rPr>
            </w:pPr>
            <w:r>
              <w:t>Inexistente</w:t>
            </w:r>
          </w:p>
          <w:sdt>
            <w:sdtPr>
              <w:rPr>
                <w:rFonts w:eastAsia="Arimo"/>
                <w:szCs w:val="20"/>
              </w:rPr>
              <w:id w:val="-718819314"/>
              <w14:checkbox>
                <w14:checked w14:val="0"/>
                <w14:checkedState w14:val="2612" w14:font="MS Gothic"/>
                <w14:uncheckedState w14:val="2610" w14:font="MS Gothic"/>
              </w14:checkbox>
            </w:sdtPr>
            <w:sdtEndPr/>
            <w:sdtContent>
              <w:p w14:paraId="484C7798" w14:textId="674E5C83"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C64B4F" w14:textId="77777777" w:rsidR="00CE7E17" w:rsidRDefault="00CE7E17" w:rsidP="00DF7172">
            <w:pPr>
              <w:jc w:val="both"/>
              <w:rPr>
                <w:szCs w:val="20"/>
              </w:rPr>
            </w:pPr>
            <w:r>
              <w:t>Rudimentario</w:t>
            </w:r>
          </w:p>
          <w:sdt>
            <w:sdtPr>
              <w:rPr>
                <w:rFonts w:eastAsia="Arimo"/>
                <w:szCs w:val="20"/>
              </w:rPr>
              <w:id w:val="1668286343"/>
              <w14:checkbox>
                <w14:checked w14:val="0"/>
                <w14:checkedState w14:val="2612" w14:font="MS Gothic"/>
                <w14:uncheckedState w14:val="2610" w14:font="MS Gothic"/>
              </w14:checkbox>
            </w:sdtPr>
            <w:sdtEndPr/>
            <w:sdtContent>
              <w:p w14:paraId="3F2D3B41" w14:textId="494412FB"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E142883" w14:textId="77777777" w:rsidR="00CE7E17" w:rsidRDefault="00CE7E17" w:rsidP="00DF7172">
            <w:pPr>
              <w:jc w:val="both"/>
              <w:rPr>
                <w:szCs w:val="20"/>
              </w:rPr>
            </w:pPr>
            <w:r>
              <w:t>Básico</w:t>
            </w:r>
          </w:p>
          <w:sdt>
            <w:sdtPr>
              <w:rPr>
                <w:rFonts w:eastAsia="Arimo"/>
                <w:szCs w:val="20"/>
              </w:rPr>
              <w:id w:val="540950910"/>
              <w14:checkbox>
                <w14:checked w14:val="0"/>
                <w14:checkedState w14:val="2612" w14:font="MS Gothic"/>
                <w14:uncheckedState w14:val="2610" w14:font="MS Gothic"/>
              </w14:checkbox>
            </w:sdtPr>
            <w:sdtEndPr/>
            <w:sdtContent>
              <w:p w14:paraId="50E940A6" w14:textId="5662E934"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3E7AE83" w14:textId="77777777" w:rsidR="00CE7E17" w:rsidRDefault="00CE7E17" w:rsidP="00DF7172">
            <w:pPr>
              <w:jc w:val="both"/>
              <w:rPr>
                <w:szCs w:val="20"/>
              </w:rPr>
            </w:pPr>
            <w:r>
              <w:t>Bueno</w:t>
            </w:r>
          </w:p>
          <w:sdt>
            <w:sdtPr>
              <w:rPr>
                <w:rFonts w:eastAsia="Arimo"/>
                <w:szCs w:val="20"/>
              </w:rPr>
              <w:id w:val="-569110772"/>
              <w14:checkbox>
                <w14:checked w14:val="0"/>
                <w14:checkedState w14:val="2612" w14:font="MS Gothic"/>
                <w14:uncheckedState w14:val="2610" w14:font="MS Gothic"/>
              </w14:checkbox>
            </w:sdtPr>
            <w:sdtEndPr/>
            <w:sdtContent>
              <w:p w14:paraId="0CE5CDB2" w14:textId="5A1E95C7"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47F7096" w14:textId="77777777" w:rsidR="00CE7E17" w:rsidRDefault="00CE7E17" w:rsidP="00DF7172">
            <w:pPr>
              <w:jc w:val="both"/>
              <w:rPr>
                <w:szCs w:val="20"/>
              </w:rPr>
            </w:pPr>
            <w:r>
              <w:t>Muy bueno</w:t>
            </w:r>
          </w:p>
          <w:sdt>
            <w:sdtPr>
              <w:rPr>
                <w:rFonts w:eastAsia="Arimo"/>
                <w:szCs w:val="20"/>
              </w:rPr>
              <w:id w:val="-1776010926"/>
              <w14:checkbox>
                <w14:checked w14:val="0"/>
                <w14:checkedState w14:val="2612" w14:font="MS Gothic"/>
                <w14:uncheckedState w14:val="2610" w14:font="MS Gothic"/>
              </w14:checkbox>
            </w:sdtPr>
            <w:sdtEndPr/>
            <w:sdtContent>
              <w:p w14:paraId="0B4A788F" w14:textId="380F07EE"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01708F5E"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597061746"/>
              <w14:checkbox>
                <w14:checked w14:val="0"/>
                <w14:checkedState w14:val="2612" w14:font="MS Gothic"/>
                <w14:uncheckedState w14:val="2610" w14:font="MS Gothic"/>
              </w14:checkbox>
            </w:sdtPr>
            <w:sdtEndPr/>
            <w:sdtContent>
              <w:p w14:paraId="654E953A" w14:textId="5638C2FE"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6470D614"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D6CCE" w14:textId="77777777" w:rsidR="00CE7E17" w:rsidRDefault="00CE7E17" w:rsidP="00DF7172">
            <w:pPr>
              <w:jc w:val="both"/>
              <w:rPr>
                <w:color w:val="005F9A"/>
                <w:szCs w:val="20"/>
                <w:lang w:val="es-AR"/>
              </w:rPr>
            </w:pPr>
            <w:r>
              <w:rPr>
                <w:color w:val="005F9A"/>
                <w:lang w:val="es-AR"/>
              </w:rPr>
              <w:t>Evidencia para este criterio de evaluación:</w:t>
            </w:r>
          </w:p>
          <w:p w14:paraId="6463FAAB" w14:textId="77777777" w:rsidR="00CE7E17" w:rsidRPr="00C36134" w:rsidRDefault="00CE7E17" w:rsidP="00DF7172">
            <w:pPr>
              <w:jc w:val="both"/>
              <w:rPr>
                <w:color w:val="0000FF"/>
                <w:szCs w:val="20"/>
                <w:lang w:val="es-AR"/>
              </w:rPr>
            </w:pPr>
          </w:p>
          <w:p w14:paraId="504439F9" w14:textId="77777777" w:rsidR="00CE7E17" w:rsidRPr="00656F7F" w:rsidRDefault="00CE7E17" w:rsidP="00DF7172">
            <w:pPr>
              <w:spacing w:line="276" w:lineRule="auto"/>
              <w:jc w:val="both"/>
              <w:rPr>
                <w:rFonts w:cs="Arial"/>
                <w:color w:val="0000FF"/>
                <w:sz w:val="18"/>
                <w:szCs w:val="18"/>
                <w:lang w:val="es-AR"/>
              </w:rPr>
            </w:pPr>
          </w:p>
        </w:tc>
      </w:tr>
    </w:tbl>
    <w:p w14:paraId="2410A246" w14:textId="1DEC175D" w:rsidR="00295648" w:rsidRPr="00D76E34" w:rsidRDefault="00CE4737" w:rsidP="00DF7172">
      <w:pPr>
        <w:pStyle w:val="Heading4"/>
        <w:jc w:val="both"/>
        <w:rPr>
          <w:rFonts w:cstheme="majorBidi"/>
          <w:lang w:val="es-AR"/>
        </w:rPr>
      </w:pPr>
      <w:r w:rsidRPr="00D76E34">
        <w:rPr>
          <w:lang w:val="es-AR"/>
        </w:rPr>
        <w:t xml:space="preserve">Criterio de evaluación </w:t>
      </w:r>
      <w:r w:rsidR="008820D9" w:rsidRPr="00D76E34">
        <w:rPr>
          <w:lang w:val="es-AR"/>
        </w:rPr>
        <w:t>2</w:t>
      </w:r>
      <w:r w:rsidR="00295648" w:rsidRPr="00D76E34">
        <w:rPr>
          <w:lang w:val="es-AR"/>
        </w:rPr>
        <w:t xml:space="preserve">: </w:t>
      </w:r>
      <w:r w:rsidR="00D76E34" w:rsidRPr="00D76E34">
        <w:rPr>
          <w:lang w:val="es-AR"/>
        </w:rPr>
        <w:t>Organismo</w:t>
      </w:r>
      <w:r w:rsidR="00D76E34">
        <w:rPr>
          <w:lang w:val="es-AR"/>
        </w:rPr>
        <w:t xml:space="preserve"> </w:t>
      </w:r>
      <w:r w:rsidR="00D76E34" w:rsidRPr="00D76E34">
        <w:rPr>
          <w:lang w:val="es-AR"/>
        </w:rPr>
        <w:t>dedicado</w:t>
      </w:r>
      <w:r w:rsidR="00295648" w:rsidRPr="00D76E34">
        <w:rPr>
          <w:lang w:val="es-AR"/>
        </w:rPr>
        <w:t xml:space="preserve"> </w:t>
      </w:r>
    </w:p>
    <w:p w14:paraId="5DFD0E91" w14:textId="77B1F004" w:rsidR="00295648" w:rsidRPr="00334DF7" w:rsidRDefault="00334DF7" w:rsidP="00DF7172">
      <w:pPr>
        <w:spacing w:after="120"/>
        <w:jc w:val="both"/>
        <w:rPr>
          <w:lang w:val="es-AR"/>
        </w:rPr>
      </w:pPr>
      <w:r w:rsidRPr="00334DF7">
        <w:rPr>
          <w:lang w:val="es-AR"/>
        </w:rPr>
        <w:t>El Parlamento tiene uno o varios órganos dedicados responsables de apoyar el diseño presupuestario con perspectiva de género, los cuales establecieron procedimientos y facultades para obtener información suplementaria por parte del Ejecutivo.</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CE7E17" w:rsidRPr="004D0354" w14:paraId="6378B960"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F2252C" w14:textId="77777777" w:rsidR="00CE7E17" w:rsidRDefault="00CE7E17" w:rsidP="00DF7172">
            <w:pPr>
              <w:jc w:val="both"/>
              <w:rPr>
                <w:szCs w:val="20"/>
              </w:rPr>
            </w:pPr>
            <w:r>
              <w:t>Inexistente</w:t>
            </w:r>
          </w:p>
          <w:sdt>
            <w:sdtPr>
              <w:rPr>
                <w:rFonts w:eastAsia="Arimo"/>
                <w:szCs w:val="20"/>
              </w:rPr>
              <w:id w:val="-1081596681"/>
              <w14:checkbox>
                <w14:checked w14:val="0"/>
                <w14:checkedState w14:val="2612" w14:font="MS Gothic"/>
                <w14:uncheckedState w14:val="2610" w14:font="MS Gothic"/>
              </w14:checkbox>
            </w:sdtPr>
            <w:sdtEndPr/>
            <w:sdtContent>
              <w:p w14:paraId="24553407" w14:textId="7388F88D"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F55FD5" w14:textId="77777777" w:rsidR="00CE7E17" w:rsidRDefault="00CE7E17" w:rsidP="00DF7172">
            <w:pPr>
              <w:jc w:val="both"/>
              <w:rPr>
                <w:szCs w:val="20"/>
              </w:rPr>
            </w:pPr>
            <w:r>
              <w:t>Rudimentario</w:t>
            </w:r>
          </w:p>
          <w:sdt>
            <w:sdtPr>
              <w:rPr>
                <w:rFonts w:eastAsia="Arimo"/>
                <w:szCs w:val="20"/>
              </w:rPr>
              <w:id w:val="1995292633"/>
              <w14:checkbox>
                <w14:checked w14:val="0"/>
                <w14:checkedState w14:val="2612" w14:font="MS Gothic"/>
                <w14:uncheckedState w14:val="2610" w14:font="MS Gothic"/>
              </w14:checkbox>
            </w:sdtPr>
            <w:sdtEndPr/>
            <w:sdtContent>
              <w:p w14:paraId="361ACB5E" w14:textId="1D6A5C87"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BEAB137" w14:textId="77777777" w:rsidR="00CE7E17" w:rsidRDefault="00CE7E17" w:rsidP="00DF7172">
            <w:pPr>
              <w:jc w:val="both"/>
              <w:rPr>
                <w:szCs w:val="20"/>
              </w:rPr>
            </w:pPr>
            <w:r>
              <w:t>Básico</w:t>
            </w:r>
          </w:p>
          <w:sdt>
            <w:sdtPr>
              <w:rPr>
                <w:rFonts w:eastAsia="Arimo"/>
                <w:szCs w:val="20"/>
              </w:rPr>
              <w:id w:val="1609849139"/>
              <w14:checkbox>
                <w14:checked w14:val="0"/>
                <w14:checkedState w14:val="2612" w14:font="MS Gothic"/>
                <w14:uncheckedState w14:val="2610" w14:font="MS Gothic"/>
              </w14:checkbox>
            </w:sdtPr>
            <w:sdtEndPr/>
            <w:sdtContent>
              <w:p w14:paraId="2747A0A9" w14:textId="159D4BA6"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1AC47F" w14:textId="77777777" w:rsidR="00CE7E17" w:rsidRDefault="00CE7E17" w:rsidP="00DF7172">
            <w:pPr>
              <w:jc w:val="both"/>
              <w:rPr>
                <w:szCs w:val="20"/>
              </w:rPr>
            </w:pPr>
            <w:r>
              <w:t>Bueno</w:t>
            </w:r>
          </w:p>
          <w:sdt>
            <w:sdtPr>
              <w:rPr>
                <w:rFonts w:eastAsia="Arimo"/>
                <w:szCs w:val="20"/>
              </w:rPr>
              <w:id w:val="1271122088"/>
              <w14:checkbox>
                <w14:checked w14:val="0"/>
                <w14:checkedState w14:val="2612" w14:font="MS Gothic"/>
                <w14:uncheckedState w14:val="2610" w14:font="MS Gothic"/>
              </w14:checkbox>
            </w:sdtPr>
            <w:sdtEndPr/>
            <w:sdtContent>
              <w:p w14:paraId="35C344BC" w14:textId="55F0FF92"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A0B2DB" w14:textId="77777777" w:rsidR="00CE7E17" w:rsidRDefault="00CE7E17" w:rsidP="00DF7172">
            <w:pPr>
              <w:jc w:val="both"/>
              <w:rPr>
                <w:szCs w:val="20"/>
              </w:rPr>
            </w:pPr>
            <w:r>
              <w:t>Muy bueno</w:t>
            </w:r>
          </w:p>
          <w:sdt>
            <w:sdtPr>
              <w:rPr>
                <w:rFonts w:eastAsia="Arimo"/>
                <w:szCs w:val="20"/>
              </w:rPr>
              <w:id w:val="930398039"/>
              <w14:checkbox>
                <w14:checked w14:val="0"/>
                <w14:checkedState w14:val="2612" w14:font="MS Gothic"/>
                <w14:uncheckedState w14:val="2610" w14:font="MS Gothic"/>
              </w14:checkbox>
            </w:sdtPr>
            <w:sdtEndPr/>
            <w:sdtContent>
              <w:p w14:paraId="2BA6B64A" w14:textId="57FA4CDB"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5ABEF07" w14:textId="283028E8"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657688788"/>
              <w14:checkbox>
                <w14:checked w14:val="0"/>
                <w14:checkedState w14:val="2612" w14:font="MS Gothic"/>
                <w14:uncheckedState w14:val="2610" w14:font="MS Gothic"/>
              </w14:checkbox>
            </w:sdtPr>
            <w:sdtEndPr/>
            <w:sdtContent>
              <w:p w14:paraId="1FFDB796" w14:textId="77777777"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686A46F9"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34A78" w14:textId="77777777" w:rsidR="00CE7E17" w:rsidRDefault="00CE7E17" w:rsidP="00DF7172">
            <w:pPr>
              <w:jc w:val="both"/>
              <w:rPr>
                <w:color w:val="005F9A"/>
                <w:szCs w:val="20"/>
                <w:lang w:val="es-AR"/>
              </w:rPr>
            </w:pPr>
            <w:r>
              <w:rPr>
                <w:color w:val="005F9A"/>
                <w:lang w:val="es-AR"/>
              </w:rPr>
              <w:t>Evidencia para este criterio de evaluación:</w:t>
            </w:r>
          </w:p>
          <w:p w14:paraId="542CC06C" w14:textId="77777777" w:rsidR="00CE7E17" w:rsidRPr="00C36134" w:rsidRDefault="00CE7E17" w:rsidP="00DF7172">
            <w:pPr>
              <w:jc w:val="both"/>
              <w:rPr>
                <w:color w:val="0000FF"/>
                <w:szCs w:val="20"/>
                <w:lang w:val="es-AR"/>
              </w:rPr>
            </w:pPr>
          </w:p>
          <w:p w14:paraId="423AE4DA" w14:textId="77777777" w:rsidR="00CE7E17" w:rsidRPr="00656F7F" w:rsidRDefault="00CE7E17" w:rsidP="00DF7172">
            <w:pPr>
              <w:spacing w:line="276" w:lineRule="auto"/>
              <w:jc w:val="both"/>
              <w:rPr>
                <w:rFonts w:cs="Arial"/>
                <w:color w:val="0000FF"/>
                <w:sz w:val="18"/>
                <w:szCs w:val="18"/>
                <w:lang w:val="es-AR"/>
              </w:rPr>
            </w:pPr>
          </w:p>
        </w:tc>
      </w:tr>
    </w:tbl>
    <w:p w14:paraId="45F0DC0F" w14:textId="131C2618" w:rsidR="00295648" w:rsidRPr="00334DF7" w:rsidRDefault="00CE4737" w:rsidP="00DF7172">
      <w:pPr>
        <w:pStyle w:val="Heading4"/>
        <w:jc w:val="both"/>
        <w:rPr>
          <w:lang w:val="es-AR"/>
        </w:rPr>
      </w:pPr>
      <w:r w:rsidRPr="00334DF7">
        <w:rPr>
          <w:lang w:val="es-AR"/>
        </w:rPr>
        <w:t xml:space="preserve">Criterio de evaluación </w:t>
      </w:r>
      <w:r w:rsidR="008820D9" w:rsidRPr="00334DF7">
        <w:rPr>
          <w:lang w:val="es-AR"/>
        </w:rPr>
        <w:t>3</w:t>
      </w:r>
      <w:r w:rsidR="00295648" w:rsidRPr="00334DF7">
        <w:rPr>
          <w:lang w:val="es-AR"/>
        </w:rPr>
        <w:t xml:space="preserve">: </w:t>
      </w:r>
      <w:r w:rsidR="008820D9" w:rsidRPr="00334DF7">
        <w:rPr>
          <w:lang w:val="es-AR"/>
        </w:rPr>
        <w:t>Re</w:t>
      </w:r>
      <w:r w:rsidR="00D76E34" w:rsidRPr="00334DF7">
        <w:rPr>
          <w:lang w:val="es-AR"/>
        </w:rPr>
        <w:t>cursos</w:t>
      </w:r>
      <w:r w:rsidR="00295648" w:rsidRPr="00334DF7">
        <w:rPr>
          <w:lang w:val="es-AR"/>
        </w:rPr>
        <w:t xml:space="preserve"> </w:t>
      </w:r>
    </w:p>
    <w:p w14:paraId="0C574AA1" w14:textId="0B633585" w:rsidR="00295648" w:rsidRPr="00334DF7" w:rsidRDefault="00334DF7" w:rsidP="00DF7172">
      <w:pPr>
        <w:spacing w:after="120"/>
        <w:jc w:val="both"/>
        <w:rPr>
          <w:lang w:val="es-AR"/>
        </w:rPr>
      </w:pPr>
      <w:r w:rsidRPr="00334DF7">
        <w:rPr>
          <w:lang w:val="es-AR"/>
        </w:rPr>
        <w:t>El Parlamento tiene la suficiente capacidad de investigación y análisis como para sostener un diseño presupuestario con perspectiva de género. Los legisladores tienen acceso a capacitaciones y entrenamiento en la materia y a información neces</w:t>
      </w:r>
      <w:r>
        <w:rPr>
          <w:lang w:val="es-AR"/>
        </w:rPr>
        <w:t>aria para apuntalar su trabajo.</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CE7E17" w:rsidRPr="004D0354" w14:paraId="605C274C" w14:textId="77777777" w:rsidTr="00CE7E1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E1D5AE" w14:textId="77777777" w:rsidR="00CE7E17" w:rsidRDefault="00CE7E17" w:rsidP="00DF7172">
            <w:pPr>
              <w:jc w:val="both"/>
              <w:rPr>
                <w:szCs w:val="20"/>
              </w:rPr>
            </w:pPr>
            <w:r>
              <w:t>Inexistente</w:t>
            </w:r>
          </w:p>
          <w:sdt>
            <w:sdtPr>
              <w:rPr>
                <w:rFonts w:eastAsia="Arimo"/>
                <w:szCs w:val="20"/>
              </w:rPr>
              <w:id w:val="614026013"/>
              <w14:checkbox>
                <w14:checked w14:val="0"/>
                <w14:checkedState w14:val="2612" w14:font="MS Gothic"/>
                <w14:uncheckedState w14:val="2610" w14:font="MS Gothic"/>
              </w14:checkbox>
            </w:sdtPr>
            <w:sdtEndPr/>
            <w:sdtContent>
              <w:p w14:paraId="23D492B8" w14:textId="35CF4715"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F56F641" w14:textId="77777777" w:rsidR="00CE7E17" w:rsidRDefault="00CE7E17" w:rsidP="00DF7172">
            <w:pPr>
              <w:jc w:val="both"/>
              <w:rPr>
                <w:szCs w:val="20"/>
              </w:rPr>
            </w:pPr>
            <w:r>
              <w:t>Rudimentario</w:t>
            </w:r>
          </w:p>
          <w:sdt>
            <w:sdtPr>
              <w:rPr>
                <w:rFonts w:eastAsia="Arimo"/>
                <w:szCs w:val="20"/>
              </w:rPr>
              <w:id w:val="-111279916"/>
              <w14:checkbox>
                <w14:checked w14:val="0"/>
                <w14:checkedState w14:val="2612" w14:font="MS Gothic"/>
                <w14:uncheckedState w14:val="2610" w14:font="MS Gothic"/>
              </w14:checkbox>
            </w:sdtPr>
            <w:sdtEndPr/>
            <w:sdtContent>
              <w:p w14:paraId="77B19333" w14:textId="1631C700"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4874BD" w14:textId="77777777" w:rsidR="00CE7E17" w:rsidRDefault="00CE7E17" w:rsidP="00DF7172">
            <w:pPr>
              <w:jc w:val="both"/>
              <w:rPr>
                <w:szCs w:val="20"/>
              </w:rPr>
            </w:pPr>
            <w:r>
              <w:t>Básico</w:t>
            </w:r>
          </w:p>
          <w:sdt>
            <w:sdtPr>
              <w:rPr>
                <w:rFonts w:eastAsia="Arimo"/>
                <w:szCs w:val="20"/>
              </w:rPr>
              <w:id w:val="302745710"/>
              <w14:checkbox>
                <w14:checked w14:val="0"/>
                <w14:checkedState w14:val="2612" w14:font="MS Gothic"/>
                <w14:uncheckedState w14:val="2610" w14:font="MS Gothic"/>
              </w14:checkbox>
            </w:sdtPr>
            <w:sdtEndPr/>
            <w:sdtContent>
              <w:p w14:paraId="44722568" w14:textId="0EB36927"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0B5768" w14:textId="77777777" w:rsidR="00CE7E17" w:rsidRDefault="00CE7E17" w:rsidP="00DF7172">
            <w:pPr>
              <w:jc w:val="both"/>
              <w:rPr>
                <w:szCs w:val="20"/>
              </w:rPr>
            </w:pPr>
            <w:r>
              <w:t>Bueno</w:t>
            </w:r>
          </w:p>
          <w:sdt>
            <w:sdtPr>
              <w:rPr>
                <w:rFonts w:eastAsia="Arimo"/>
                <w:szCs w:val="20"/>
              </w:rPr>
              <w:id w:val="961532068"/>
              <w14:checkbox>
                <w14:checked w14:val="0"/>
                <w14:checkedState w14:val="2612" w14:font="MS Gothic"/>
                <w14:uncheckedState w14:val="2610" w14:font="MS Gothic"/>
              </w14:checkbox>
            </w:sdtPr>
            <w:sdtEndPr/>
            <w:sdtContent>
              <w:p w14:paraId="492E1917" w14:textId="4D24E0CF" w:rsidR="00CE7E17" w:rsidRPr="004D0354" w:rsidRDefault="00CE7E17"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E777B9" w14:textId="77777777" w:rsidR="00CE7E17" w:rsidRDefault="00CE7E17" w:rsidP="00DF7172">
            <w:pPr>
              <w:jc w:val="both"/>
              <w:rPr>
                <w:szCs w:val="20"/>
              </w:rPr>
            </w:pPr>
            <w:r>
              <w:t>Muy bueno</w:t>
            </w:r>
          </w:p>
          <w:sdt>
            <w:sdtPr>
              <w:rPr>
                <w:rFonts w:eastAsia="Arimo"/>
                <w:szCs w:val="20"/>
              </w:rPr>
              <w:id w:val="-1859341911"/>
              <w14:checkbox>
                <w14:checked w14:val="0"/>
                <w14:checkedState w14:val="2612" w14:font="MS Gothic"/>
                <w14:uncheckedState w14:val="2610" w14:font="MS Gothic"/>
              </w14:checkbox>
            </w:sdtPr>
            <w:sdtEndPr/>
            <w:sdtContent>
              <w:p w14:paraId="01C037E4" w14:textId="4CE8D790" w:rsidR="00CE7E17" w:rsidRPr="004D0354" w:rsidRDefault="00CE7E17"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4A57827" w14:textId="77777777" w:rsidR="00CE7E17" w:rsidRPr="004D0354" w:rsidRDefault="00CE7E17" w:rsidP="00DF7172">
            <w:pPr>
              <w:spacing w:line="276" w:lineRule="auto"/>
              <w:jc w:val="both"/>
              <w:rPr>
                <w:rFonts w:cs="Arial"/>
                <w:szCs w:val="20"/>
              </w:rPr>
            </w:pPr>
            <w:r w:rsidRPr="004D0354">
              <w:t>Excelent</w:t>
            </w:r>
            <w:r>
              <w:t>e</w:t>
            </w:r>
          </w:p>
          <w:sdt>
            <w:sdtPr>
              <w:rPr>
                <w:rFonts w:eastAsia="Arimo" w:cs="Arial"/>
                <w:szCs w:val="20"/>
              </w:rPr>
              <w:id w:val="128053335"/>
              <w14:checkbox>
                <w14:checked w14:val="0"/>
                <w14:checkedState w14:val="2612" w14:font="MS Gothic"/>
                <w14:uncheckedState w14:val="2610" w14:font="MS Gothic"/>
              </w14:checkbox>
            </w:sdtPr>
            <w:sdtEndPr/>
            <w:sdtContent>
              <w:p w14:paraId="3F37F26D" w14:textId="1AFF3F5F" w:rsidR="00CE7E17" w:rsidRPr="004D0354" w:rsidRDefault="00CE7E17" w:rsidP="00DF7172">
                <w:pPr>
                  <w:spacing w:line="276" w:lineRule="auto"/>
                  <w:jc w:val="both"/>
                  <w:rPr>
                    <w:rFonts w:cs="Arial"/>
                    <w:szCs w:val="20"/>
                  </w:rPr>
                </w:pPr>
                <w:r w:rsidRPr="004D0354">
                  <w:rPr>
                    <w:rFonts w:ascii="MS Gothic" w:eastAsia="MS Gothic" w:hAnsi="MS Gothic" w:cs="Arial"/>
                    <w:szCs w:val="20"/>
                  </w:rPr>
                  <w:t>☐</w:t>
                </w:r>
              </w:p>
            </w:sdtContent>
          </w:sdt>
        </w:tc>
      </w:tr>
      <w:tr w:rsidR="00CE7E17" w:rsidRPr="00DF7172" w14:paraId="09FCC667" w14:textId="77777777" w:rsidTr="00CE7E1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ED2C3" w14:textId="77777777" w:rsidR="00CE7E17" w:rsidRDefault="00CE7E17" w:rsidP="00DF7172">
            <w:pPr>
              <w:jc w:val="both"/>
              <w:rPr>
                <w:color w:val="005F9A"/>
                <w:szCs w:val="20"/>
                <w:lang w:val="es-AR"/>
              </w:rPr>
            </w:pPr>
            <w:r>
              <w:rPr>
                <w:color w:val="005F9A"/>
                <w:lang w:val="es-AR"/>
              </w:rPr>
              <w:t>Evidencia para este criterio de evaluación:</w:t>
            </w:r>
          </w:p>
          <w:p w14:paraId="185865F9" w14:textId="77777777" w:rsidR="00CE7E17" w:rsidRPr="00C36134" w:rsidRDefault="00CE7E17" w:rsidP="00DF7172">
            <w:pPr>
              <w:jc w:val="both"/>
              <w:rPr>
                <w:color w:val="0000FF"/>
                <w:szCs w:val="20"/>
                <w:lang w:val="es-AR"/>
              </w:rPr>
            </w:pPr>
          </w:p>
          <w:p w14:paraId="454F304D" w14:textId="77777777" w:rsidR="00CE7E17" w:rsidRPr="00656F7F" w:rsidRDefault="00CE7E17" w:rsidP="00DF7172">
            <w:pPr>
              <w:spacing w:line="276" w:lineRule="auto"/>
              <w:jc w:val="both"/>
              <w:rPr>
                <w:rFonts w:cs="Arial"/>
                <w:color w:val="0000FF"/>
                <w:sz w:val="18"/>
                <w:szCs w:val="18"/>
                <w:lang w:val="es-AR"/>
              </w:rPr>
            </w:pPr>
          </w:p>
        </w:tc>
      </w:tr>
    </w:tbl>
    <w:p w14:paraId="2B3A0F1D" w14:textId="77777777" w:rsidR="007E7F51" w:rsidRPr="00656F7F" w:rsidRDefault="007E7F51" w:rsidP="00DF7172">
      <w:pPr>
        <w:pStyle w:val="section-title"/>
        <w:jc w:val="both"/>
      </w:pPr>
    </w:p>
    <w:p w14:paraId="44A41D80" w14:textId="77777777" w:rsidR="00CE4737" w:rsidRPr="00383F06" w:rsidRDefault="00CE4737"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8780"/>
      </w:tblGrid>
      <w:tr w:rsidR="0043584A" w:rsidRPr="00DF7172" w14:paraId="629C27C6" w14:textId="77777777" w:rsidTr="0043584A">
        <w:trPr>
          <w:trHeight w:val="1440"/>
        </w:trPr>
        <w:tc>
          <w:tcPr>
            <w:tcW w:w="5000" w:type="pct"/>
            <w:tcBorders>
              <w:top w:val="single" w:sz="4" w:space="0" w:color="auto"/>
              <w:left w:val="single" w:sz="4" w:space="0" w:color="auto"/>
              <w:bottom w:val="single" w:sz="4" w:space="0" w:color="auto"/>
              <w:right w:val="single" w:sz="4" w:space="0" w:color="auto"/>
            </w:tcBorders>
          </w:tcPr>
          <w:p w14:paraId="39E1EA3B" w14:textId="77777777" w:rsidR="00EA4E25" w:rsidRDefault="00EA4E25"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3F34AB4B" w14:textId="084AD534" w:rsidR="0043584A" w:rsidRPr="00656F7F" w:rsidRDefault="0043584A" w:rsidP="00DF7172">
            <w:pPr>
              <w:jc w:val="both"/>
              <w:rPr>
                <w:szCs w:val="20"/>
                <w:lang w:val="es-AR"/>
              </w:rPr>
            </w:pPr>
          </w:p>
        </w:tc>
      </w:tr>
    </w:tbl>
    <w:p w14:paraId="092110C4" w14:textId="4CAC5D91" w:rsidR="0043584A" w:rsidRPr="004D0354" w:rsidRDefault="00CE4737" w:rsidP="00DF7172">
      <w:pPr>
        <w:pStyle w:val="section-title"/>
        <w:jc w:val="both"/>
      </w:pPr>
      <w:r>
        <w:lastRenderedPageBreak/>
        <w:t>Fuentes y lecturas adicionales</w:t>
      </w:r>
    </w:p>
    <w:p w14:paraId="2E30DD26" w14:textId="77777777" w:rsidR="00813F52" w:rsidRPr="00CE7E17" w:rsidRDefault="00813F52" w:rsidP="00DF7172">
      <w:pPr>
        <w:numPr>
          <w:ilvl w:val="0"/>
          <w:numId w:val="13"/>
        </w:numPr>
        <w:pBdr>
          <w:top w:val="nil"/>
          <w:left w:val="nil"/>
          <w:bottom w:val="nil"/>
          <w:right w:val="nil"/>
          <w:between w:val="nil"/>
        </w:pBdr>
        <w:ind w:left="562" w:hanging="562"/>
        <w:jc w:val="both"/>
        <w:rPr>
          <w:rFonts w:eastAsia="Arial" w:cs="Arial"/>
          <w:color w:val="000000"/>
          <w:szCs w:val="20"/>
        </w:rPr>
      </w:pPr>
      <w:r w:rsidRPr="00CE7E17">
        <w:rPr>
          <w:color w:val="000000"/>
          <w:szCs w:val="20"/>
        </w:rPr>
        <w:t xml:space="preserve">Elisabete Azevedo-Harman and Ricardo Godinho Gomes, </w:t>
      </w:r>
      <w:hyperlink r:id="rId26">
        <w:r w:rsidRPr="00CE7E17">
          <w:rPr>
            <w:i/>
            <w:color w:val="1155CC"/>
            <w:szCs w:val="20"/>
            <w:u w:val="single"/>
          </w:rPr>
          <w:t>Post-Legislative Scrutiny of the Law against Gender-Based Violence:</w:t>
        </w:r>
      </w:hyperlink>
      <w:hyperlink r:id="rId27">
        <w:r w:rsidRPr="00CE7E17">
          <w:rPr>
            <w:i/>
            <w:color w:val="1155CC"/>
            <w:szCs w:val="20"/>
            <w:u w:val="single"/>
          </w:rPr>
          <w:t xml:space="preserve"> The Successful Story of the Cabo Verde Parliament</w:t>
        </w:r>
      </w:hyperlink>
      <w:r w:rsidRPr="00CE7E17">
        <w:rPr>
          <w:color w:val="000000"/>
          <w:szCs w:val="20"/>
        </w:rPr>
        <w:t xml:space="preserve"> (2019).</w:t>
      </w:r>
    </w:p>
    <w:p w14:paraId="16446662" w14:textId="78A59A0A" w:rsidR="00295648" w:rsidRPr="00CE7E17" w:rsidRDefault="00295648" w:rsidP="00DF7172">
      <w:pPr>
        <w:numPr>
          <w:ilvl w:val="0"/>
          <w:numId w:val="13"/>
        </w:numPr>
        <w:pBdr>
          <w:top w:val="nil"/>
          <w:left w:val="nil"/>
          <w:bottom w:val="nil"/>
          <w:right w:val="nil"/>
          <w:between w:val="nil"/>
        </w:pBdr>
        <w:ind w:left="562" w:hanging="562"/>
        <w:jc w:val="both"/>
        <w:rPr>
          <w:rFonts w:eastAsia="Arial" w:cs="Arial"/>
          <w:color w:val="000000"/>
          <w:szCs w:val="20"/>
          <w:lang w:val="de-CH"/>
        </w:rPr>
      </w:pPr>
      <w:r w:rsidRPr="00CE7E17">
        <w:rPr>
          <w:color w:val="000000"/>
          <w:szCs w:val="20"/>
          <w:lang w:val="de-CH"/>
        </w:rPr>
        <w:t xml:space="preserve">Deutsche Gesellschaft für Technische Zusammenarbeit (GTZ), </w:t>
      </w:r>
      <w:hyperlink r:id="rId28">
        <w:r w:rsidRPr="00CE7E17">
          <w:rPr>
            <w:i/>
            <w:color w:val="1155CC"/>
            <w:szCs w:val="20"/>
            <w:u w:val="single"/>
            <w:lang w:val="de-CH"/>
          </w:rPr>
          <w:t>Manual for Training on Gender Responsive Budgeting</w:t>
        </w:r>
      </w:hyperlink>
      <w:r w:rsidRPr="00CE7E17">
        <w:rPr>
          <w:color w:val="000000"/>
          <w:szCs w:val="20"/>
          <w:lang w:val="de-CH"/>
        </w:rPr>
        <w:t xml:space="preserve"> (2006).</w:t>
      </w:r>
    </w:p>
    <w:p w14:paraId="59187173" w14:textId="0413609B" w:rsidR="00295648" w:rsidRPr="00CE7E17" w:rsidRDefault="00295648" w:rsidP="00DF7172">
      <w:pPr>
        <w:numPr>
          <w:ilvl w:val="0"/>
          <w:numId w:val="13"/>
        </w:numPr>
        <w:pBdr>
          <w:top w:val="nil"/>
          <w:left w:val="nil"/>
          <w:bottom w:val="nil"/>
          <w:right w:val="nil"/>
          <w:between w:val="nil"/>
        </w:pBdr>
        <w:ind w:left="562" w:hanging="562"/>
        <w:jc w:val="both"/>
        <w:rPr>
          <w:rFonts w:eastAsia="Arial" w:cs="Arial"/>
          <w:color w:val="000000"/>
          <w:szCs w:val="20"/>
        </w:rPr>
      </w:pPr>
      <w:r w:rsidRPr="00CE7E17">
        <w:rPr>
          <w:color w:val="000000"/>
          <w:szCs w:val="20"/>
        </w:rPr>
        <w:t xml:space="preserve">International Monetary Fund (IMF), </w:t>
      </w:r>
      <w:hyperlink r:id="rId29">
        <w:r w:rsidRPr="00CE7E17">
          <w:rPr>
            <w:i/>
            <w:color w:val="1155CC"/>
            <w:szCs w:val="20"/>
            <w:u w:val="single"/>
          </w:rPr>
          <w:t>Europe:</w:t>
        </w:r>
      </w:hyperlink>
      <w:hyperlink r:id="rId30">
        <w:r w:rsidRPr="00CE7E17">
          <w:rPr>
            <w:i/>
            <w:color w:val="1155CC"/>
            <w:szCs w:val="20"/>
            <w:u w:val="single"/>
          </w:rPr>
          <w:t xml:space="preserve"> A Survey of Gender Budgeting Efforts</w:t>
        </w:r>
      </w:hyperlink>
      <w:r w:rsidRPr="00CE7E17">
        <w:rPr>
          <w:color w:val="000000"/>
          <w:szCs w:val="20"/>
        </w:rPr>
        <w:t xml:space="preserve"> (2016).</w:t>
      </w:r>
    </w:p>
    <w:p w14:paraId="19C53D4B" w14:textId="6E960008" w:rsidR="00295648" w:rsidRPr="00CE7E17" w:rsidRDefault="009C3128" w:rsidP="00DF7172">
      <w:pPr>
        <w:numPr>
          <w:ilvl w:val="0"/>
          <w:numId w:val="13"/>
        </w:numPr>
        <w:pBdr>
          <w:top w:val="nil"/>
          <w:left w:val="nil"/>
          <w:bottom w:val="nil"/>
          <w:right w:val="nil"/>
          <w:between w:val="nil"/>
        </w:pBdr>
        <w:ind w:left="562" w:hanging="562"/>
        <w:jc w:val="both"/>
        <w:rPr>
          <w:rFonts w:eastAsia="Arial" w:cs="Arial"/>
          <w:color w:val="000000"/>
          <w:szCs w:val="20"/>
        </w:rPr>
      </w:pPr>
      <w:r w:rsidRPr="00CE7E17">
        <w:rPr>
          <w:color w:val="000000"/>
          <w:szCs w:val="20"/>
        </w:rPr>
        <w:t>Inter-Parliamentary Union (IPU) and others,</w:t>
      </w:r>
      <w:r w:rsidR="00295648" w:rsidRPr="00CE7E17">
        <w:rPr>
          <w:color w:val="000000"/>
          <w:szCs w:val="20"/>
        </w:rPr>
        <w:t xml:space="preserve"> </w:t>
      </w:r>
      <w:hyperlink r:id="rId31">
        <w:r w:rsidR="00295648" w:rsidRPr="00CE7E17">
          <w:rPr>
            <w:i/>
            <w:color w:val="1155CC"/>
            <w:szCs w:val="20"/>
            <w:u w:val="single"/>
          </w:rPr>
          <w:t>Parliament, the Budget and Gende</w:t>
        </w:r>
        <w:r w:rsidRPr="00CE7E17">
          <w:rPr>
            <w:i/>
            <w:color w:val="1155CC"/>
            <w:szCs w:val="20"/>
            <w:u w:val="single"/>
          </w:rPr>
          <w:t>r: Handbook for Parliamentarians No. 6</w:t>
        </w:r>
      </w:hyperlink>
      <w:r w:rsidR="00295648" w:rsidRPr="00CE7E17">
        <w:rPr>
          <w:color w:val="000000"/>
          <w:szCs w:val="20"/>
        </w:rPr>
        <w:t xml:space="preserve"> (2004).</w:t>
      </w:r>
    </w:p>
    <w:p w14:paraId="23D531AE" w14:textId="2BFA8262" w:rsidR="00A84106" w:rsidRPr="00CE7E17" w:rsidRDefault="00B70655" w:rsidP="00DF7172">
      <w:pPr>
        <w:numPr>
          <w:ilvl w:val="0"/>
          <w:numId w:val="13"/>
        </w:numPr>
        <w:pBdr>
          <w:top w:val="nil"/>
          <w:left w:val="nil"/>
          <w:bottom w:val="nil"/>
          <w:right w:val="nil"/>
          <w:between w:val="nil"/>
        </w:pBdr>
        <w:ind w:left="562" w:hanging="562"/>
        <w:jc w:val="both"/>
        <w:rPr>
          <w:rFonts w:eastAsia="Arial" w:cs="Arial"/>
          <w:color w:val="000000"/>
          <w:szCs w:val="20"/>
        </w:rPr>
      </w:pPr>
      <w:r w:rsidRPr="00CE7E17">
        <w:rPr>
          <w:color w:val="000000"/>
          <w:szCs w:val="20"/>
        </w:rPr>
        <w:t xml:space="preserve">Organisation for Economic Co-operation and Development (OECD), </w:t>
      </w:r>
      <w:hyperlink r:id="rId32" w:history="1">
        <w:r w:rsidRPr="00CE7E17">
          <w:rPr>
            <w:rStyle w:val="Hyperlink"/>
            <w:i/>
            <w:iCs/>
            <w:szCs w:val="20"/>
          </w:rPr>
          <w:t>Gender Budgeting in OECD countries</w:t>
        </w:r>
      </w:hyperlink>
      <w:r w:rsidRPr="00CE7E17">
        <w:rPr>
          <w:color w:val="000000"/>
          <w:szCs w:val="20"/>
        </w:rPr>
        <w:t xml:space="preserve"> (2017).</w:t>
      </w:r>
    </w:p>
    <w:p w14:paraId="194FB999" w14:textId="77777777" w:rsidR="00A84106" w:rsidRPr="00CE7E17" w:rsidRDefault="00A84106" w:rsidP="00DF7172">
      <w:pPr>
        <w:numPr>
          <w:ilvl w:val="0"/>
          <w:numId w:val="13"/>
        </w:numPr>
        <w:pBdr>
          <w:top w:val="nil"/>
          <w:left w:val="nil"/>
          <w:bottom w:val="nil"/>
          <w:right w:val="nil"/>
          <w:between w:val="nil"/>
        </w:pBdr>
        <w:ind w:left="562" w:hanging="562"/>
        <w:jc w:val="both"/>
        <w:rPr>
          <w:rFonts w:eastAsia="Arial" w:cs="Arial"/>
          <w:color w:val="000000"/>
          <w:szCs w:val="20"/>
        </w:rPr>
      </w:pPr>
      <w:r w:rsidRPr="00CE7E17">
        <w:rPr>
          <w:color w:val="000000"/>
          <w:szCs w:val="20"/>
        </w:rPr>
        <w:t xml:space="preserve">UN Women, </w:t>
      </w:r>
      <w:hyperlink r:id="rId33">
        <w:r w:rsidRPr="00CE7E17">
          <w:rPr>
            <w:i/>
            <w:color w:val="1155CC"/>
            <w:szCs w:val="20"/>
            <w:u w:val="single"/>
          </w:rPr>
          <w:t>Gender-Responsive Budgeting:</w:t>
        </w:r>
      </w:hyperlink>
      <w:hyperlink r:id="rId34">
        <w:r w:rsidRPr="00CE7E17">
          <w:rPr>
            <w:i/>
            <w:color w:val="1155CC"/>
            <w:szCs w:val="20"/>
            <w:u w:val="single"/>
          </w:rPr>
          <w:t xml:space="preserve"> Analysis of Budget Programmes from Gender Perspective</w:t>
        </w:r>
      </w:hyperlink>
      <w:r w:rsidRPr="00CE7E17">
        <w:rPr>
          <w:color w:val="000000"/>
          <w:szCs w:val="20"/>
        </w:rPr>
        <w:t xml:space="preserve"> (2016).</w:t>
      </w:r>
    </w:p>
    <w:p w14:paraId="259EA30E" w14:textId="77777777" w:rsidR="00295648" w:rsidRPr="004D0354" w:rsidRDefault="00295648" w:rsidP="00DF7172">
      <w:pPr>
        <w:pBdr>
          <w:top w:val="nil"/>
          <w:left w:val="nil"/>
          <w:bottom w:val="nil"/>
          <w:right w:val="nil"/>
          <w:between w:val="nil"/>
        </w:pBdr>
        <w:jc w:val="both"/>
        <w:rPr>
          <w:rFonts w:eastAsia="Arial" w:cs="Arial"/>
          <w:color w:val="000000"/>
          <w:szCs w:val="20"/>
          <w:lang w:eastAsia="en-GB"/>
        </w:rPr>
      </w:pPr>
    </w:p>
    <w:p w14:paraId="51E213F8" w14:textId="77777777" w:rsidR="00295648" w:rsidRPr="004D0354" w:rsidRDefault="00295648" w:rsidP="00DF7172">
      <w:pPr>
        <w:spacing w:line="276" w:lineRule="auto"/>
        <w:jc w:val="both"/>
        <w:rPr>
          <w:rFonts w:eastAsia="Arial" w:cs="Arial"/>
          <w:color w:val="0070C0"/>
          <w:szCs w:val="20"/>
          <w:lang w:eastAsia="en-GB"/>
        </w:rPr>
      </w:pPr>
    </w:p>
    <w:p w14:paraId="692500A9" w14:textId="77777777" w:rsidR="00295648" w:rsidRPr="004D0354" w:rsidRDefault="00295648" w:rsidP="00DF7172">
      <w:pPr>
        <w:spacing w:line="276" w:lineRule="auto"/>
        <w:jc w:val="both"/>
        <w:rPr>
          <w:rFonts w:eastAsia="Arial" w:cs="Arial"/>
          <w:color w:val="0070C0"/>
          <w:szCs w:val="20"/>
          <w:lang w:eastAsia="en-GB"/>
        </w:rPr>
      </w:pPr>
    </w:p>
    <w:p w14:paraId="4B973EFE" w14:textId="77777777" w:rsidR="00295648" w:rsidRPr="004D0354" w:rsidRDefault="00295648" w:rsidP="00DF7172">
      <w:pPr>
        <w:spacing w:line="276" w:lineRule="auto"/>
        <w:jc w:val="both"/>
        <w:rPr>
          <w:rFonts w:eastAsia="Arial" w:cs="Arial"/>
          <w:color w:val="0070C0"/>
          <w:szCs w:val="20"/>
          <w:lang w:eastAsia="en-GB"/>
        </w:rPr>
      </w:pPr>
    </w:p>
    <w:p w14:paraId="045869D3" w14:textId="6113463B" w:rsidR="00295648" w:rsidRPr="004D0354" w:rsidRDefault="007E5D1E" w:rsidP="00DF7172">
      <w:pPr>
        <w:pStyle w:val="Dimension"/>
      </w:pPr>
      <w:r w:rsidRPr="004D0354">
        <w:lastRenderedPageBreak/>
        <w:t>Dimensi</w:t>
      </w:r>
      <w:r w:rsidR="00580D1B">
        <w:t>ó</w:t>
      </w:r>
      <w:r w:rsidR="009F5C40">
        <w:t>n 5.1.5: Inclusió</w:t>
      </w:r>
      <w:r w:rsidRPr="004D0354">
        <w:t>n</w:t>
      </w:r>
      <w:r w:rsidR="009F5C40">
        <w:t xml:space="preserve"> de la juventud</w:t>
      </w:r>
    </w:p>
    <w:tbl>
      <w:tblPr>
        <w:tblStyle w:val="TableGrid"/>
        <w:tblW w:w="0" w:type="auto"/>
        <w:shd w:val="clear" w:color="auto" w:fill="EEEEEE"/>
        <w:tblLook w:val="04A0" w:firstRow="1" w:lastRow="0" w:firstColumn="1" w:lastColumn="0" w:noHBand="0" w:noVBand="1"/>
      </w:tblPr>
      <w:tblGrid>
        <w:gridCol w:w="8780"/>
      </w:tblGrid>
      <w:tr w:rsidR="008422F8" w:rsidRPr="004D0354" w14:paraId="40106BD1" w14:textId="77777777" w:rsidTr="00580D1B">
        <w:tc>
          <w:tcPr>
            <w:tcW w:w="8780" w:type="dxa"/>
            <w:tcBorders>
              <w:top w:val="single" w:sz="4" w:space="0" w:color="auto"/>
              <w:left w:val="single" w:sz="4" w:space="0" w:color="auto"/>
              <w:bottom w:val="single" w:sz="4" w:space="0" w:color="auto"/>
              <w:right w:val="single" w:sz="4" w:space="0" w:color="auto"/>
            </w:tcBorders>
            <w:shd w:val="clear" w:color="auto" w:fill="EEEEEE"/>
            <w:hideMark/>
          </w:tcPr>
          <w:p w14:paraId="4FAC740F" w14:textId="77777777" w:rsidR="00D32CA6" w:rsidRPr="00656F7F" w:rsidRDefault="00D32CA6" w:rsidP="00DF7172">
            <w:pPr>
              <w:jc w:val="both"/>
              <w:rPr>
                <w:rFonts w:eastAsia="Arial" w:cs="Arial"/>
                <w:szCs w:val="20"/>
                <w:lang w:val="es-AR"/>
              </w:rPr>
            </w:pPr>
            <w:r w:rsidRPr="00656F7F">
              <w:rPr>
                <w:lang w:val="es-AR"/>
              </w:rPr>
              <w:t>Esta dimensión es parte de:</w:t>
            </w:r>
          </w:p>
          <w:p w14:paraId="25ED3BCB" w14:textId="0958A742" w:rsidR="00D32CA6" w:rsidRPr="00656F7F" w:rsidRDefault="00D32CA6" w:rsidP="00DF7172">
            <w:pPr>
              <w:pStyle w:val="ListParagraph"/>
              <w:jc w:val="both"/>
              <w:rPr>
                <w:lang w:val="es-AR"/>
              </w:rPr>
            </w:pPr>
            <w:r w:rsidRPr="00656F7F">
              <w:rPr>
                <w:lang w:val="es-AR"/>
              </w:rPr>
              <w:t xml:space="preserve">Indicador 5.1: Elaboración de leyes, </w:t>
            </w:r>
            <w:r w:rsidR="00334DF7" w:rsidRPr="00656F7F">
              <w:rPr>
                <w:lang w:val="es-AR"/>
              </w:rPr>
              <w:t>supervisión</w:t>
            </w:r>
            <w:r w:rsidRPr="00656F7F">
              <w:rPr>
                <w:lang w:val="es-AR"/>
              </w:rPr>
              <w:t xml:space="preserve"> y diseño presupuestario inclusivos</w:t>
            </w:r>
          </w:p>
          <w:p w14:paraId="7121FDBF" w14:textId="102433D4" w:rsidR="008422F8" w:rsidRPr="004D0354" w:rsidRDefault="00D32CA6" w:rsidP="00DF7172">
            <w:pPr>
              <w:pStyle w:val="ListParagraph"/>
              <w:jc w:val="both"/>
              <w:rPr>
                <w:sz w:val="24"/>
              </w:rPr>
            </w:pPr>
            <w:r>
              <w:t xml:space="preserve">Meta 5: </w:t>
            </w:r>
            <w:r w:rsidR="00DF7172">
              <w:t>Parlamentos i</w:t>
            </w:r>
            <w:r w:rsidR="00DF7172" w:rsidRPr="004D0354">
              <w:t>nclusiv</w:t>
            </w:r>
            <w:r w:rsidR="00DF7172">
              <w:t>os</w:t>
            </w:r>
          </w:p>
        </w:tc>
      </w:tr>
    </w:tbl>
    <w:p w14:paraId="54DA6BD8" w14:textId="77777777" w:rsidR="00580D1B" w:rsidRPr="001335DD" w:rsidRDefault="00580D1B" w:rsidP="00DF7172">
      <w:pPr>
        <w:pStyle w:val="section-title"/>
        <w:jc w:val="both"/>
      </w:pPr>
      <w:r>
        <w:t>Acerca de esta dimensión</w:t>
      </w:r>
    </w:p>
    <w:p w14:paraId="51C32EED" w14:textId="69B8135C" w:rsidR="007E7F51" w:rsidRPr="00DF7172" w:rsidRDefault="00B2520B" w:rsidP="00DF7172">
      <w:pPr>
        <w:spacing w:after="120"/>
        <w:jc w:val="both"/>
        <w:rPr>
          <w:rFonts w:eastAsia="Arial" w:cs="Arial"/>
          <w:color w:val="000000"/>
          <w:szCs w:val="20"/>
          <w:lang w:val="es-US"/>
        </w:rPr>
      </w:pPr>
      <w:r w:rsidRPr="00B2520B">
        <w:rPr>
          <w:color w:val="000000"/>
          <w:lang w:val="es-AR"/>
        </w:rPr>
        <w:t>Esta dimensió</w:t>
      </w:r>
      <w:r w:rsidR="00295648" w:rsidRPr="00B2520B">
        <w:rPr>
          <w:color w:val="000000"/>
          <w:lang w:val="es-AR"/>
        </w:rPr>
        <w:t>n</w:t>
      </w:r>
      <w:r w:rsidRPr="00B2520B">
        <w:rPr>
          <w:color w:val="000000"/>
          <w:lang w:val="es-AR"/>
        </w:rPr>
        <w:t xml:space="preserve"> refiere a la inclusión de los jóvenes y las cuestiones relacionadas con la juventud en los procesos políticos formales e informales del Parlamento. </w:t>
      </w:r>
      <w:r w:rsidR="00295648" w:rsidRPr="00B2520B">
        <w:rPr>
          <w:color w:val="000000"/>
          <w:lang w:val="es-AR"/>
        </w:rPr>
        <w:t xml:space="preserve"> </w:t>
      </w:r>
    </w:p>
    <w:p w14:paraId="06B39938" w14:textId="228630A3" w:rsidR="00295648" w:rsidRPr="00B2520B" w:rsidRDefault="00B2520B" w:rsidP="00DF7172">
      <w:pPr>
        <w:spacing w:after="120"/>
        <w:jc w:val="both"/>
        <w:rPr>
          <w:rFonts w:eastAsia="Arial" w:cs="Arial"/>
          <w:color w:val="000000"/>
          <w:szCs w:val="20"/>
          <w:lang w:val="es-AR"/>
        </w:rPr>
      </w:pPr>
      <w:r w:rsidRPr="00B2520B">
        <w:rPr>
          <w:color w:val="000000"/>
          <w:lang w:val="es-AR"/>
        </w:rPr>
        <w:t>El Parl</w:t>
      </w:r>
      <w:r w:rsidR="00295648" w:rsidRPr="00B2520B">
        <w:rPr>
          <w:color w:val="000000"/>
          <w:lang w:val="es-AR"/>
        </w:rPr>
        <w:t>ament</w:t>
      </w:r>
      <w:r w:rsidRPr="00B2520B">
        <w:rPr>
          <w:color w:val="000000"/>
          <w:lang w:val="es-AR"/>
        </w:rPr>
        <w:t xml:space="preserve">o puede desempeñar un rol importante en el desarrollo de políticas sensibles a la juventud y a la promoción de la inclusión de los jóvenes logrando involucrarlos en su trabajo, apoyando y asociándose con organizaciones juveniles, y creando programas educativos y de empoderamiento para jóvenes. </w:t>
      </w:r>
      <w:r w:rsidR="00295648" w:rsidRPr="00B2520B">
        <w:rPr>
          <w:color w:val="000000"/>
          <w:lang w:val="es-AR"/>
        </w:rPr>
        <w:t xml:space="preserve"> </w:t>
      </w:r>
      <w:r w:rsidRPr="00B2520B">
        <w:rPr>
          <w:color w:val="000000"/>
          <w:lang w:val="es-AR"/>
        </w:rPr>
        <w:t>Algunos parlamentos cuentan con un cuerpo parlamentario especializado en asuntos de la juventud.</w:t>
      </w:r>
      <w:r>
        <w:rPr>
          <w:color w:val="000000"/>
          <w:lang w:val="es-AR"/>
        </w:rPr>
        <w:t xml:space="preserve"> </w:t>
      </w:r>
      <w:r w:rsidRPr="00B2520B">
        <w:rPr>
          <w:color w:val="000000"/>
          <w:lang w:val="es-AR"/>
        </w:rPr>
        <w:t>Es especialmente importante que el Parlamento incluya a jóvenes de grupos vulnerables de la sociedad</w:t>
      </w:r>
      <w:r>
        <w:rPr>
          <w:color w:val="000000"/>
          <w:lang w:val="es-AR"/>
        </w:rPr>
        <w:t>.</w:t>
      </w:r>
    </w:p>
    <w:p w14:paraId="56AC79C9" w14:textId="5DD869D1" w:rsidR="00EA4E25" w:rsidRPr="00B2520B" w:rsidRDefault="00B2520B" w:rsidP="00DF7172">
      <w:pPr>
        <w:spacing w:after="120"/>
        <w:jc w:val="both"/>
        <w:rPr>
          <w:color w:val="000000"/>
          <w:lang w:val="es-AR"/>
        </w:rPr>
      </w:pPr>
      <w:r w:rsidRPr="00B2520B">
        <w:rPr>
          <w:color w:val="000000"/>
          <w:lang w:val="es-AR"/>
        </w:rPr>
        <w:t>Algunos ejemplos de actividades educativas y de participación de los j</w:t>
      </w:r>
      <w:r>
        <w:rPr>
          <w:color w:val="000000"/>
          <w:lang w:val="es-AR"/>
        </w:rPr>
        <w:t xml:space="preserve">óvenes pueden ser las siguientes: </w:t>
      </w:r>
    </w:p>
    <w:p w14:paraId="44AAB423" w14:textId="092206EE" w:rsidR="00ED63E1" w:rsidRPr="00B2520B" w:rsidRDefault="00ED63E1" w:rsidP="00DF7172">
      <w:pPr>
        <w:pStyle w:val="ListParagraph"/>
        <w:jc w:val="both"/>
        <w:rPr>
          <w:rFonts w:eastAsia="Arial" w:cs="Arial"/>
          <w:szCs w:val="20"/>
          <w:lang w:val="es-AR"/>
        </w:rPr>
      </w:pPr>
      <w:r w:rsidRPr="00B2520B">
        <w:rPr>
          <w:lang w:val="es-AR"/>
        </w:rPr>
        <w:t>E</w:t>
      </w:r>
      <w:r w:rsidR="00B2520B" w:rsidRPr="00B2520B">
        <w:rPr>
          <w:lang w:val="es-AR"/>
        </w:rPr>
        <w:t xml:space="preserve">stablecer programas de educación cívica, posiblemente en colaboración </w:t>
      </w:r>
      <w:r w:rsidR="00B2520B">
        <w:rPr>
          <w:lang w:val="es-AR"/>
        </w:rPr>
        <w:t>con escuelas y universi</w:t>
      </w:r>
      <w:r w:rsidR="00B2520B" w:rsidRPr="00B2520B">
        <w:rPr>
          <w:lang w:val="es-AR"/>
        </w:rPr>
        <w:t>dades.</w:t>
      </w:r>
    </w:p>
    <w:p w14:paraId="514D5585" w14:textId="5E57E6BC" w:rsidR="00ED63E1" w:rsidRPr="00B2520B" w:rsidRDefault="00B2520B" w:rsidP="00DF7172">
      <w:pPr>
        <w:pStyle w:val="ListParagraph"/>
        <w:jc w:val="both"/>
        <w:rPr>
          <w:rFonts w:eastAsia="Arial" w:cs="Arial"/>
          <w:szCs w:val="20"/>
          <w:lang w:val="es-AR"/>
        </w:rPr>
      </w:pPr>
      <w:r w:rsidRPr="00B2520B">
        <w:rPr>
          <w:lang w:val="es-AR"/>
        </w:rPr>
        <w:t>Invitar a jóvenes a visitar el Parlamento</w:t>
      </w:r>
      <w:r>
        <w:rPr>
          <w:lang w:val="es-AR"/>
        </w:rPr>
        <w:t>.</w:t>
      </w:r>
    </w:p>
    <w:p w14:paraId="0F22AEAF" w14:textId="54691503" w:rsidR="00ED63E1" w:rsidRPr="00B2520B" w:rsidRDefault="00B2520B" w:rsidP="00DF7172">
      <w:pPr>
        <w:pStyle w:val="ListParagraph"/>
        <w:jc w:val="both"/>
        <w:rPr>
          <w:rFonts w:eastAsia="Arial" w:cs="Arial"/>
          <w:szCs w:val="20"/>
          <w:lang w:val="es-AR"/>
        </w:rPr>
      </w:pPr>
      <w:r w:rsidRPr="00B2520B">
        <w:rPr>
          <w:lang w:val="es-AR"/>
        </w:rPr>
        <w:t>Ofrecer programas especialmente diseñados para niños y jóvenes.</w:t>
      </w:r>
    </w:p>
    <w:p w14:paraId="1A013655" w14:textId="170A4BCF" w:rsidR="00ED63E1" w:rsidRPr="00B2520B" w:rsidRDefault="00B2520B" w:rsidP="00DF7172">
      <w:pPr>
        <w:pStyle w:val="ListParagraph"/>
        <w:jc w:val="both"/>
        <w:rPr>
          <w:rFonts w:eastAsia="Arial" w:cs="Arial"/>
          <w:szCs w:val="20"/>
          <w:lang w:val="es-AR"/>
        </w:rPr>
      </w:pPr>
      <w:r w:rsidRPr="00B2520B">
        <w:rPr>
          <w:lang w:val="es-AR"/>
        </w:rPr>
        <w:t xml:space="preserve">Establecer programas de pasantías o prácticas para estudiantes en el </w:t>
      </w:r>
      <w:r>
        <w:rPr>
          <w:lang w:val="es-AR"/>
        </w:rPr>
        <w:t>Parlamento</w:t>
      </w:r>
    </w:p>
    <w:p w14:paraId="538BD860" w14:textId="52ACCFA6" w:rsidR="00ED63E1" w:rsidRPr="00B2520B" w:rsidRDefault="00B2520B" w:rsidP="00DF7172">
      <w:pPr>
        <w:pStyle w:val="ListParagraph"/>
        <w:jc w:val="both"/>
        <w:rPr>
          <w:rFonts w:eastAsia="Arial" w:cs="Arial"/>
          <w:szCs w:val="20"/>
          <w:lang w:val="es-AR"/>
        </w:rPr>
      </w:pPr>
      <w:r w:rsidRPr="00B2520B">
        <w:rPr>
          <w:lang w:val="es-AR"/>
        </w:rPr>
        <w:t>Fomentar la interacción de los legisladores con los jóvenes a través de distintos canals, incluyendo en l</w:t>
      </w:r>
      <w:r>
        <w:rPr>
          <w:lang w:val="es-AR"/>
        </w:rPr>
        <w:t>ínea.</w:t>
      </w:r>
    </w:p>
    <w:p w14:paraId="35F8F6E0" w14:textId="0FA03989" w:rsidR="00ED63E1" w:rsidRPr="004D0354" w:rsidRDefault="00B2520B" w:rsidP="00DF7172">
      <w:pPr>
        <w:pStyle w:val="ListParagraph"/>
        <w:jc w:val="both"/>
        <w:rPr>
          <w:rFonts w:eastAsia="Arial" w:cs="Arial"/>
          <w:szCs w:val="20"/>
        </w:rPr>
      </w:pPr>
      <w:r>
        <w:t>Apoyar a los parlamentos juveniles</w:t>
      </w:r>
    </w:p>
    <w:p w14:paraId="47EC162F" w14:textId="184C98EB" w:rsidR="007E7F51" w:rsidRPr="001460AF" w:rsidRDefault="00B2520B" w:rsidP="00DF7172">
      <w:pPr>
        <w:pStyle w:val="ListParagraph"/>
        <w:jc w:val="both"/>
        <w:rPr>
          <w:rFonts w:eastAsia="Arial" w:cs="Arial"/>
          <w:szCs w:val="20"/>
        </w:rPr>
      </w:pPr>
      <w:r>
        <w:t>Organizar foros juveniles</w:t>
      </w:r>
    </w:p>
    <w:p w14:paraId="63271802" w14:textId="77777777" w:rsidR="001460AF" w:rsidRPr="001460AF" w:rsidRDefault="001460AF" w:rsidP="00DF7172">
      <w:pPr>
        <w:pStyle w:val="ListParagraph"/>
        <w:numPr>
          <w:ilvl w:val="0"/>
          <w:numId w:val="0"/>
        </w:numPr>
        <w:ind w:left="720"/>
        <w:jc w:val="both"/>
        <w:rPr>
          <w:rFonts w:eastAsia="Arial" w:cs="Arial"/>
          <w:sz w:val="16"/>
          <w:szCs w:val="20"/>
        </w:rPr>
      </w:pPr>
    </w:p>
    <w:p w14:paraId="72C56245" w14:textId="2A0E8945" w:rsidR="00295648" w:rsidRPr="00DF7172" w:rsidRDefault="00B2520B" w:rsidP="00DF7172">
      <w:pPr>
        <w:jc w:val="both"/>
        <w:rPr>
          <w:rFonts w:eastAsia="Arial" w:cs="Arial"/>
          <w:szCs w:val="20"/>
          <w:lang w:val="es-US"/>
        </w:rPr>
      </w:pPr>
      <w:r w:rsidRPr="00185D98">
        <w:rPr>
          <w:lang w:val="es-AR"/>
        </w:rPr>
        <w:t xml:space="preserve">La participación de los jóvenes en actividades parlamentarias, particularmente en aquellas que afecten específicamente a dicho grupo etario, deben promoverse mediante el uso de herramientas y canales digitales o de otro tipo adaptadas a los jóvenes. </w:t>
      </w:r>
      <w:r w:rsidRPr="00B2520B">
        <w:rPr>
          <w:lang w:val="es-AR"/>
        </w:rPr>
        <w:t xml:space="preserve">El contenido de los procedimientos, debates y decisiones sobre cuestiones que los afecten debieran ser comunicados en una forma accessible para jóvenes de ambos sexos. </w:t>
      </w:r>
    </w:p>
    <w:p w14:paraId="1957E296" w14:textId="77777777" w:rsidR="00295648" w:rsidRPr="00DF7172" w:rsidRDefault="00295648" w:rsidP="00DF7172">
      <w:pPr>
        <w:jc w:val="both"/>
        <w:rPr>
          <w:rFonts w:eastAsia="Arial" w:cs="Arial"/>
          <w:sz w:val="16"/>
          <w:szCs w:val="20"/>
          <w:lang w:val="es-US" w:eastAsia="en-GB"/>
        </w:rPr>
      </w:pPr>
    </w:p>
    <w:p w14:paraId="6FB32EC3" w14:textId="2552B86C" w:rsidR="00A66AA9" w:rsidRPr="00B2520B" w:rsidRDefault="00B2520B" w:rsidP="00DF7172">
      <w:pPr>
        <w:jc w:val="both"/>
        <w:rPr>
          <w:i/>
          <w:iCs/>
          <w:lang w:val="es-AR"/>
        </w:rPr>
      </w:pPr>
      <w:r>
        <w:rPr>
          <w:lang w:val="es-AR"/>
        </w:rPr>
        <w:t>Ver también</w:t>
      </w:r>
      <w:r w:rsidR="00A66AA9" w:rsidRPr="00B2520B">
        <w:rPr>
          <w:lang w:val="es-AR"/>
        </w:rPr>
        <w:t xml:space="preserve"> </w:t>
      </w:r>
      <w:r w:rsidR="00334DF7" w:rsidRPr="00B2520B">
        <w:rPr>
          <w:i/>
          <w:iCs/>
          <w:lang w:val="es-AR"/>
        </w:rPr>
        <w:t>Dimensión 7.2.3: Representación de la juventud</w:t>
      </w:r>
      <w:r w:rsidR="00334DF7" w:rsidRPr="00B2520B">
        <w:rPr>
          <w:lang w:val="es-AR"/>
        </w:rPr>
        <w:t xml:space="preserve"> y</w:t>
      </w:r>
      <w:r w:rsidR="00A66AA9" w:rsidRPr="00B2520B">
        <w:rPr>
          <w:lang w:val="es-AR"/>
        </w:rPr>
        <w:t xml:space="preserve"> </w:t>
      </w:r>
      <w:r w:rsidR="00A66AA9" w:rsidRPr="00B2520B">
        <w:rPr>
          <w:i/>
          <w:iCs/>
          <w:lang w:val="es-AR"/>
        </w:rPr>
        <w:t xml:space="preserve">7.3.3: </w:t>
      </w:r>
      <w:r w:rsidRPr="00B2520B">
        <w:rPr>
          <w:i/>
          <w:iCs/>
          <w:lang w:val="es-AR"/>
        </w:rPr>
        <w:t>E</w:t>
      </w:r>
      <w:r>
        <w:rPr>
          <w:i/>
          <w:iCs/>
          <w:lang w:val="es-AR"/>
        </w:rPr>
        <w:t>quidad de género y de edad en los cuerpos parlamentarios</w:t>
      </w:r>
    </w:p>
    <w:p w14:paraId="6789C81F" w14:textId="77777777" w:rsidR="00580D1B" w:rsidRDefault="00580D1B" w:rsidP="00DF7172">
      <w:pPr>
        <w:pStyle w:val="section-title"/>
        <w:jc w:val="both"/>
      </w:pPr>
      <w:r>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00" w:firstRow="0" w:lastRow="0" w:firstColumn="0" w:lastColumn="0" w:noHBand="0" w:noVBand="1"/>
      </w:tblPr>
      <w:tblGrid>
        <w:gridCol w:w="8780"/>
      </w:tblGrid>
      <w:tr w:rsidR="00295648" w:rsidRPr="003F33A4" w14:paraId="55D4CD83" w14:textId="77777777" w:rsidTr="000F1C24">
        <w:tc>
          <w:tcPr>
            <w:tcW w:w="5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91ADC1A" w14:textId="12DC26A1" w:rsidR="00295648" w:rsidRPr="00656F7F" w:rsidRDefault="00EA4E25" w:rsidP="00DF7172">
            <w:pPr>
              <w:spacing w:before="120" w:after="120"/>
              <w:jc w:val="both"/>
              <w:rPr>
                <w:rFonts w:eastAsia="Arial" w:cs="Arial"/>
                <w:i/>
                <w:szCs w:val="20"/>
                <w:lang w:val="es-AR"/>
              </w:rPr>
            </w:pPr>
            <w:r>
              <w:rPr>
                <w:i/>
                <w:lang w:val="es-AR"/>
              </w:rPr>
              <w:t>Basado en un análisis comparativo mundial, un objetivo al que aspiran los parlamentos en el ámbito de la “inclusión de la juventud” es el siguiente:</w:t>
            </w:r>
          </w:p>
          <w:p w14:paraId="10E8E928" w14:textId="6AB65D41" w:rsidR="005677F5" w:rsidRPr="00DF7172" w:rsidRDefault="00B45878" w:rsidP="00DF7172">
            <w:pPr>
              <w:jc w:val="both"/>
              <w:rPr>
                <w:rFonts w:eastAsia="Arial" w:cs="Arial"/>
                <w:szCs w:val="20"/>
                <w:lang w:val="es-US"/>
              </w:rPr>
            </w:pPr>
            <w:r w:rsidRPr="00B45878">
              <w:rPr>
                <w:lang w:val="es-AR"/>
              </w:rPr>
              <w:t>El Parl</w:t>
            </w:r>
            <w:r w:rsidR="005677F5" w:rsidRPr="00B45878">
              <w:rPr>
                <w:lang w:val="es-AR"/>
              </w:rPr>
              <w:t>ament</w:t>
            </w:r>
            <w:r w:rsidRPr="00B45878">
              <w:rPr>
                <w:lang w:val="es-AR"/>
              </w:rPr>
              <w:t>o consulta regularmente a organizaciones juveniles con vistas a desarrollar mecanismos eficaces para incluir a los j</w:t>
            </w:r>
            <w:r>
              <w:rPr>
                <w:lang w:val="es-AR"/>
              </w:rPr>
              <w:t xml:space="preserve">óvenes en los procesos políticos formales e informales. </w:t>
            </w:r>
            <w:r w:rsidR="005677F5" w:rsidRPr="00B45878">
              <w:rPr>
                <w:lang w:val="es-AR"/>
              </w:rPr>
              <w:t xml:space="preserve"> </w:t>
            </w:r>
          </w:p>
          <w:p w14:paraId="1A3A306C" w14:textId="77777777" w:rsidR="005677F5" w:rsidRPr="00DF7172" w:rsidRDefault="005677F5" w:rsidP="00DF7172">
            <w:pPr>
              <w:jc w:val="both"/>
              <w:rPr>
                <w:rFonts w:eastAsia="Arial" w:cs="Arial"/>
                <w:sz w:val="10"/>
                <w:szCs w:val="20"/>
                <w:lang w:val="es-US"/>
              </w:rPr>
            </w:pPr>
          </w:p>
          <w:p w14:paraId="64CD3794" w14:textId="43EE3048" w:rsidR="00295648" w:rsidRPr="00B45878" w:rsidRDefault="00B45878" w:rsidP="00DF7172">
            <w:pPr>
              <w:jc w:val="both"/>
              <w:rPr>
                <w:lang w:val="es-AR"/>
              </w:rPr>
            </w:pPr>
            <w:r w:rsidRPr="00B45878">
              <w:rPr>
                <w:lang w:val="es-AR"/>
              </w:rPr>
              <w:t>El Parl</w:t>
            </w:r>
            <w:r w:rsidR="00CC49AF" w:rsidRPr="00B45878">
              <w:rPr>
                <w:lang w:val="es-AR"/>
              </w:rPr>
              <w:t>ament</w:t>
            </w:r>
            <w:r w:rsidRPr="00B45878">
              <w:rPr>
                <w:lang w:val="es-AR"/>
              </w:rPr>
              <w:t>o da oportunidades significativas a los jóvenes para participar e involucrarse en aspectos fundamentales del trabajo parlamentario, incluyendo el trabajo en comisiones. Estas formas de participación son sustantivas e influyen en el proceso parlamentario de toma de decisiones.</w:t>
            </w:r>
          </w:p>
          <w:p w14:paraId="7AB5DB0C" w14:textId="77777777" w:rsidR="00CC49AF" w:rsidRPr="00B45878" w:rsidRDefault="00CC49AF" w:rsidP="00DF7172">
            <w:pPr>
              <w:jc w:val="both"/>
              <w:rPr>
                <w:rFonts w:eastAsia="Arial" w:cs="Arial"/>
                <w:sz w:val="10"/>
                <w:szCs w:val="20"/>
                <w:lang w:val="es-AR" w:eastAsia="en-GB"/>
              </w:rPr>
            </w:pPr>
          </w:p>
          <w:p w14:paraId="1FDAA4DF" w14:textId="77C36DFE" w:rsidR="00CC49AF" w:rsidRPr="00B45878" w:rsidRDefault="00B45878" w:rsidP="00DF7172">
            <w:pPr>
              <w:jc w:val="both"/>
              <w:rPr>
                <w:color w:val="000000"/>
                <w:lang w:val="es-AR"/>
              </w:rPr>
            </w:pPr>
            <w:r w:rsidRPr="00B45878">
              <w:rPr>
                <w:lang w:val="es-AR"/>
              </w:rPr>
              <w:t>El Parlamento ha desarrollado programas diversos, significativos y adaptados a los jóvenes para lograr su inclusión y educaci</w:t>
            </w:r>
            <w:r>
              <w:rPr>
                <w:lang w:val="es-AR"/>
              </w:rPr>
              <w:t>ón, incluyendo programas desarrollados en conjunto con escuelas, universidades y organizaciones juveniles.</w:t>
            </w:r>
          </w:p>
          <w:p w14:paraId="00B7258B" w14:textId="77777777" w:rsidR="005677F5" w:rsidRPr="00B45878" w:rsidRDefault="005677F5" w:rsidP="00DF7172">
            <w:pPr>
              <w:jc w:val="both"/>
              <w:rPr>
                <w:color w:val="000000"/>
                <w:sz w:val="10"/>
                <w:lang w:val="es-AR"/>
              </w:rPr>
            </w:pPr>
          </w:p>
          <w:p w14:paraId="11ADDBC5" w14:textId="5C1EB9AE" w:rsidR="00601534" w:rsidRPr="00B45878" w:rsidRDefault="00B45878" w:rsidP="00DF7172">
            <w:pPr>
              <w:spacing w:after="120"/>
              <w:jc w:val="both"/>
              <w:rPr>
                <w:lang w:val="es-AR"/>
              </w:rPr>
            </w:pPr>
            <w:r w:rsidRPr="00B45878">
              <w:rPr>
                <w:lang w:val="es-AR"/>
              </w:rPr>
              <w:t>El Parlamento recopila datos y</w:t>
            </w:r>
            <w:r w:rsidR="001E138E">
              <w:rPr>
                <w:lang w:val="es-AR"/>
              </w:rPr>
              <w:t xml:space="preserve"> aportes</w:t>
            </w:r>
            <w:r w:rsidRPr="00B45878">
              <w:rPr>
                <w:lang w:val="es-AR"/>
              </w:rPr>
              <w:t xml:space="preserve"> de los participantes sobre sus programas educativos y de inclusi</w:t>
            </w:r>
            <w:r>
              <w:rPr>
                <w:lang w:val="es-AR"/>
              </w:rPr>
              <w:t>ón de los jóvenes con el fin de lograr su mejora continua.</w:t>
            </w:r>
          </w:p>
        </w:tc>
      </w:tr>
    </w:tbl>
    <w:p w14:paraId="5280C5D5" w14:textId="77777777" w:rsidR="00CE4737" w:rsidRPr="00680D03" w:rsidRDefault="00CE4737" w:rsidP="00DF7172">
      <w:pPr>
        <w:pStyle w:val="section-title"/>
        <w:jc w:val="both"/>
      </w:pPr>
      <w:r w:rsidRPr="00680D03">
        <w:lastRenderedPageBreak/>
        <w:t>Evaluación</w:t>
      </w:r>
    </w:p>
    <w:p w14:paraId="677DD256" w14:textId="77777777" w:rsidR="00EF72F2" w:rsidRDefault="00EF72F2" w:rsidP="00DF7172">
      <w:pPr>
        <w:spacing w:before="120"/>
        <w:jc w:val="both"/>
        <w:rPr>
          <w:lang w:val="es-AR"/>
        </w:rPr>
      </w:pPr>
      <w:r>
        <w:rPr>
          <w:lang w:val="es-AR"/>
        </w:rPr>
        <w:t xml:space="preserve">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  </w:t>
      </w:r>
    </w:p>
    <w:p w14:paraId="15719A9F" w14:textId="2814760E" w:rsidR="00295648" w:rsidRPr="00EF72F2" w:rsidRDefault="00EF72F2" w:rsidP="00DF7172">
      <w:pPr>
        <w:spacing w:before="120" w:after="120"/>
        <w:jc w:val="both"/>
        <w:rPr>
          <w:lang w:val="es-AR"/>
        </w:rPr>
      </w:pPr>
      <w:r>
        <w:rPr>
          <w:lang w:val="es-AR"/>
        </w:rPr>
        <w:t>La evidencia para la evaluación de esta dimensión podría incluir lo siguiente:</w:t>
      </w:r>
    </w:p>
    <w:p w14:paraId="7DE44F5B" w14:textId="43CA196E" w:rsidR="00295648" w:rsidRPr="00B45878" w:rsidRDefault="00B45878" w:rsidP="00DF7172">
      <w:pPr>
        <w:numPr>
          <w:ilvl w:val="0"/>
          <w:numId w:val="14"/>
        </w:numPr>
        <w:pBdr>
          <w:top w:val="nil"/>
          <w:left w:val="nil"/>
          <w:bottom w:val="nil"/>
          <w:right w:val="nil"/>
          <w:between w:val="nil"/>
        </w:pBdr>
        <w:ind w:left="562" w:hanging="562"/>
        <w:jc w:val="both"/>
        <w:rPr>
          <w:rFonts w:eastAsia="Arial" w:cs="Arial"/>
          <w:color w:val="000000"/>
          <w:szCs w:val="20"/>
          <w:lang w:val="es-AR"/>
        </w:rPr>
      </w:pPr>
      <w:r w:rsidRPr="00B45878">
        <w:rPr>
          <w:color w:val="000000"/>
          <w:lang w:val="es-AR"/>
        </w:rPr>
        <w:t xml:space="preserve">Estrategias, planes de acción, programas u otros documentos del </w:t>
      </w:r>
      <w:r>
        <w:rPr>
          <w:color w:val="000000"/>
          <w:lang w:val="es-AR"/>
        </w:rPr>
        <w:t>Parlamento que involucren o aborden el tema de la inclusión y educación de los jóvenes</w:t>
      </w:r>
      <w:r w:rsidR="00B10E09" w:rsidRPr="00B45878">
        <w:rPr>
          <w:lang w:val="es-AR"/>
        </w:rPr>
        <w:t xml:space="preserve"> </w:t>
      </w:r>
    </w:p>
    <w:p w14:paraId="3AC54C99" w14:textId="75DC927A" w:rsidR="00295648" w:rsidRPr="00B45878" w:rsidRDefault="00B45878" w:rsidP="00DF7172">
      <w:pPr>
        <w:numPr>
          <w:ilvl w:val="0"/>
          <w:numId w:val="14"/>
        </w:numPr>
        <w:pBdr>
          <w:top w:val="nil"/>
          <w:left w:val="nil"/>
          <w:bottom w:val="nil"/>
          <w:right w:val="nil"/>
          <w:between w:val="nil"/>
        </w:pBdr>
        <w:ind w:left="562" w:hanging="562"/>
        <w:jc w:val="both"/>
        <w:rPr>
          <w:rFonts w:eastAsia="Arial" w:cs="Arial"/>
          <w:color w:val="000000"/>
          <w:szCs w:val="20"/>
          <w:lang w:val="es-AR"/>
        </w:rPr>
      </w:pPr>
      <w:r w:rsidRPr="00B45878">
        <w:rPr>
          <w:color w:val="000000"/>
          <w:lang w:val="es-AR"/>
        </w:rPr>
        <w:t>Actas de reunion</w:t>
      </w:r>
      <w:r>
        <w:rPr>
          <w:color w:val="000000"/>
          <w:lang w:val="es-AR"/>
        </w:rPr>
        <w:t>e</w:t>
      </w:r>
      <w:r w:rsidRPr="00B45878">
        <w:rPr>
          <w:color w:val="000000"/>
          <w:lang w:val="es-AR"/>
        </w:rPr>
        <w:t>s e informes que describan la participaci</w:t>
      </w:r>
      <w:r>
        <w:rPr>
          <w:color w:val="000000"/>
          <w:lang w:val="es-AR"/>
        </w:rPr>
        <w:t>ón e involucramiento juveniles</w:t>
      </w:r>
    </w:p>
    <w:p w14:paraId="3E184AD8" w14:textId="34A83181" w:rsidR="00295648" w:rsidRPr="00B45878" w:rsidRDefault="00B45878" w:rsidP="00DF7172">
      <w:pPr>
        <w:numPr>
          <w:ilvl w:val="0"/>
          <w:numId w:val="14"/>
        </w:numPr>
        <w:pBdr>
          <w:top w:val="nil"/>
          <w:left w:val="nil"/>
          <w:bottom w:val="nil"/>
          <w:right w:val="nil"/>
          <w:between w:val="nil"/>
        </w:pBdr>
        <w:ind w:left="562" w:hanging="562"/>
        <w:jc w:val="both"/>
        <w:rPr>
          <w:rFonts w:eastAsia="Arial" w:cs="Arial"/>
          <w:color w:val="000000"/>
          <w:szCs w:val="20"/>
          <w:lang w:val="es-AR"/>
        </w:rPr>
      </w:pPr>
      <w:r w:rsidRPr="00B45878">
        <w:rPr>
          <w:color w:val="000000"/>
          <w:lang w:val="es-AR"/>
        </w:rPr>
        <w:t>Retroalimentación brindada a los participantes de los programas juveniles en cuesti</w:t>
      </w:r>
      <w:r>
        <w:rPr>
          <w:color w:val="000000"/>
          <w:lang w:val="es-AR"/>
        </w:rPr>
        <w:t>ón</w:t>
      </w:r>
    </w:p>
    <w:p w14:paraId="44FC2253" w14:textId="03F1FF52" w:rsidR="00295648" w:rsidRPr="00B45878" w:rsidRDefault="00B45878" w:rsidP="00DF7172">
      <w:pPr>
        <w:numPr>
          <w:ilvl w:val="0"/>
          <w:numId w:val="14"/>
        </w:numPr>
        <w:pBdr>
          <w:top w:val="nil"/>
          <w:left w:val="nil"/>
          <w:bottom w:val="nil"/>
          <w:right w:val="nil"/>
          <w:between w:val="nil"/>
        </w:pBdr>
        <w:ind w:left="562" w:hanging="562"/>
        <w:jc w:val="both"/>
        <w:rPr>
          <w:rFonts w:eastAsia="Arial" w:cs="Arial"/>
          <w:color w:val="000000"/>
          <w:szCs w:val="20"/>
          <w:lang w:val="es-AR"/>
        </w:rPr>
      </w:pPr>
      <w:r w:rsidRPr="00B45878">
        <w:rPr>
          <w:color w:val="000000"/>
          <w:lang w:val="es-AR"/>
        </w:rPr>
        <w:t>H</w:t>
      </w:r>
      <w:r>
        <w:rPr>
          <w:color w:val="000000"/>
          <w:lang w:val="es-AR"/>
        </w:rPr>
        <w:t xml:space="preserve">erramientas </w:t>
      </w:r>
      <w:r w:rsidRPr="00B45878">
        <w:rPr>
          <w:color w:val="000000"/>
          <w:lang w:val="es-AR"/>
        </w:rPr>
        <w:t>d</w:t>
      </w:r>
      <w:r w:rsidR="00295648" w:rsidRPr="00B45878">
        <w:rPr>
          <w:color w:val="000000"/>
          <w:lang w:val="es-AR"/>
        </w:rPr>
        <w:t>igital</w:t>
      </w:r>
      <w:r w:rsidRPr="00B45878">
        <w:rPr>
          <w:color w:val="000000"/>
          <w:lang w:val="es-AR"/>
        </w:rPr>
        <w:t xml:space="preserve">es </w:t>
      </w:r>
      <w:r>
        <w:rPr>
          <w:color w:val="000000"/>
          <w:lang w:val="es-AR"/>
        </w:rPr>
        <w:t>y de otro tipo adaptadas para jóvenes</w:t>
      </w:r>
    </w:p>
    <w:p w14:paraId="17BDAC89" w14:textId="38DE55B9" w:rsidR="00295648" w:rsidRPr="00306087" w:rsidRDefault="00306087" w:rsidP="00DF7172">
      <w:pPr>
        <w:numPr>
          <w:ilvl w:val="0"/>
          <w:numId w:val="14"/>
        </w:numPr>
        <w:pBdr>
          <w:top w:val="nil"/>
          <w:left w:val="nil"/>
          <w:bottom w:val="nil"/>
          <w:right w:val="nil"/>
          <w:between w:val="nil"/>
        </w:pBdr>
        <w:ind w:left="562" w:hanging="562"/>
        <w:jc w:val="both"/>
        <w:rPr>
          <w:rFonts w:eastAsia="Arial" w:cs="Arial"/>
          <w:color w:val="000000"/>
          <w:szCs w:val="20"/>
          <w:lang w:val="es-AR"/>
        </w:rPr>
      </w:pPr>
      <w:r w:rsidRPr="00306087">
        <w:rPr>
          <w:color w:val="000000"/>
          <w:lang w:val="es-AR"/>
        </w:rPr>
        <w:t>Documentos de seguimiento y evaluación  sobre inclusi</w:t>
      </w:r>
      <w:r>
        <w:rPr>
          <w:color w:val="000000"/>
          <w:lang w:val="es-AR"/>
        </w:rPr>
        <w:t>ón juvenil y educación</w:t>
      </w:r>
      <w:r w:rsidR="00B10E09" w:rsidRPr="00306087">
        <w:rPr>
          <w:lang w:val="es-AR"/>
        </w:rPr>
        <w:t xml:space="preserve"> </w:t>
      </w:r>
    </w:p>
    <w:p w14:paraId="471BEBFB" w14:textId="77777777" w:rsidR="007E7F51" w:rsidRDefault="007E7F51" w:rsidP="00DF7172">
      <w:pPr>
        <w:spacing w:before="120" w:after="120"/>
        <w:jc w:val="both"/>
        <w:rPr>
          <w:szCs w:val="20"/>
          <w:lang w:val="es-AR"/>
        </w:rPr>
      </w:pPr>
      <w:r>
        <w:rPr>
          <w:lang w:val="es-AR"/>
        </w:rPr>
        <w:t>Cuando corresponda, proporcione comentarios adicionales o ejemplos que respalden la evaluación.</w:t>
      </w:r>
    </w:p>
    <w:p w14:paraId="6EB53A34" w14:textId="1FE82806" w:rsidR="005677F5" w:rsidRPr="00DF7172" w:rsidRDefault="00CE4737" w:rsidP="00DF7172">
      <w:pPr>
        <w:pStyle w:val="Heading4"/>
        <w:jc w:val="both"/>
        <w:rPr>
          <w:rFonts w:cstheme="majorBidi"/>
          <w:lang w:val="es-US"/>
        </w:rPr>
      </w:pPr>
      <w:r w:rsidRPr="00DF7172">
        <w:rPr>
          <w:lang w:val="es-US"/>
        </w:rPr>
        <w:t xml:space="preserve">Criterio de evaluación </w:t>
      </w:r>
      <w:r w:rsidR="005677F5" w:rsidRPr="00DF7172">
        <w:rPr>
          <w:lang w:val="es-US"/>
        </w:rPr>
        <w:t>1: Consulta</w:t>
      </w:r>
    </w:p>
    <w:p w14:paraId="14F8774C" w14:textId="053E8589" w:rsidR="005677F5" w:rsidRPr="00DF7172" w:rsidRDefault="001E138E" w:rsidP="00DF7172">
      <w:pPr>
        <w:spacing w:after="120"/>
        <w:jc w:val="both"/>
        <w:rPr>
          <w:lang w:val="es-US"/>
        </w:rPr>
      </w:pPr>
      <w:r w:rsidRPr="001E138E">
        <w:rPr>
          <w:lang w:val="es-AR"/>
        </w:rPr>
        <w:t>El Parlamento consulta regularmente a organizaciones juveniles con vistas a desarrollar mecanismos eficaces para incluir a los jóvenes en los procesos políticos formales e informales.</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EA4E25" w:rsidRPr="004D0354" w14:paraId="7ADCB353"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F7BCB6" w14:textId="77777777" w:rsidR="00EA4E25" w:rsidRDefault="00EA4E25" w:rsidP="00DF7172">
            <w:pPr>
              <w:jc w:val="both"/>
              <w:rPr>
                <w:szCs w:val="20"/>
              </w:rPr>
            </w:pPr>
            <w:r>
              <w:t>Inexistente</w:t>
            </w:r>
          </w:p>
          <w:sdt>
            <w:sdtPr>
              <w:rPr>
                <w:rFonts w:eastAsia="Arimo"/>
                <w:szCs w:val="20"/>
              </w:rPr>
              <w:id w:val="4264038"/>
              <w14:checkbox>
                <w14:checked w14:val="0"/>
                <w14:checkedState w14:val="2612" w14:font="MS Gothic"/>
                <w14:uncheckedState w14:val="2610" w14:font="MS Gothic"/>
              </w14:checkbox>
            </w:sdtPr>
            <w:sdtEndPr/>
            <w:sdtContent>
              <w:p w14:paraId="2F8DD0D7" w14:textId="4F0F66A3"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E7D301" w14:textId="77777777" w:rsidR="00EA4E25" w:rsidRDefault="00EA4E25" w:rsidP="00DF7172">
            <w:pPr>
              <w:jc w:val="both"/>
              <w:rPr>
                <w:szCs w:val="20"/>
              </w:rPr>
            </w:pPr>
            <w:r>
              <w:t>Rudimentario</w:t>
            </w:r>
          </w:p>
          <w:sdt>
            <w:sdtPr>
              <w:rPr>
                <w:rFonts w:eastAsia="Arimo"/>
                <w:szCs w:val="20"/>
              </w:rPr>
              <w:id w:val="1959991127"/>
              <w14:checkbox>
                <w14:checked w14:val="0"/>
                <w14:checkedState w14:val="2612" w14:font="MS Gothic"/>
                <w14:uncheckedState w14:val="2610" w14:font="MS Gothic"/>
              </w14:checkbox>
            </w:sdtPr>
            <w:sdtEndPr/>
            <w:sdtContent>
              <w:p w14:paraId="636C102F" w14:textId="7A9680FC"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3144476" w14:textId="77777777" w:rsidR="00EA4E25" w:rsidRDefault="00EA4E25" w:rsidP="00DF7172">
            <w:pPr>
              <w:jc w:val="both"/>
              <w:rPr>
                <w:szCs w:val="20"/>
              </w:rPr>
            </w:pPr>
            <w:r>
              <w:t>Básico</w:t>
            </w:r>
          </w:p>
          <w:sdt>
            <w:sdtPr>
              <w:rPr>
                <w:rFonts w:eastAsia="Arimo"/>
                <w:szCs w:val="20"/>
              </w:rPr>
              <w:id w:val="-1255968695"/>
              <w14:checkbox>
                <w14:checked w14:val="0"/>
                <w14:checkedState w14:val="2612" w14:font="MS Gothic"/>
                <w14:uncheckedState w14:val="2610" w14:font="MS Gothic"/>
              </w14:checkbox>
            </w:sdtPr>
            <w:sdtEndPr/>
            <w:sdtContent>
              <w:p w14:paraId="2E433729" w14:textId="1B935848"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840FC1" w14:textId="77777777" w:rsidR="00EA4E25" w:rsidRDefault="00EA4E25" w:rsidP="00DF7172">
            <w:pPr>
              <w:jc w:val="both"/>
              <w:rPr>
                <w:szCs w:val="20"/>
              </w:rPr>
            </w:pPr>
            <w:r>
              <w:t>Bueno</w:t>
            </w:r>
          </w:p>
          <w:sdt>
            <w:sdtPr>
              <w:rPr>
                <w:rFonts w:eastAsia="Arimo"/>
                <w:szCs w:val="20"/>
              </w:rPr>
              <w:id w:val="-365520779"/>
              <w14:checkbox>
                <w14:checked w14:val="0"/>
                <w14:checkedState w14:val="2612" w14:font="MS Gothic"/>
                <w14:uncheckedState w14:val="2610" w14:font="MS Gothic"/>
              </w14:checkbox>
            </w:sdtPr>
            <w:sdtEndPr/>
            <w:sdtContent>
              <w:p w14:paraId="3EB42C81" w14:textId="2A5D1DD4"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8CAC08" w14:textId="77777777" w:rsidR="00EA4E25" w:rsidRDefault="00EA4E25" w:rsidP="00DF7172">
            <w:pPr>
              <w:jc w:val="both"/>
              <w:rPr>
                <w:szCs w:val="20"/>
              </w:rPr>
            </w:pPr>
            <w:r>
              <w:t>Muy bueno</w:t>
            </w:r>
          </w:p>
          <w:sdt>
            <w:sdtPr>
              <w:rPr>
                <w:rFonts w:eastAsia="Arimo"/>
                <w:szCs w:val="20"/>
              </w:rPr>
              <w:id w:val="863478962"/>
              <w14:checkbox>
                <w14:checked w14:val="0"/>
                <w14:checkedState w14:val="2612" w14:font="MS Gothic"/>
                <w14:uncheckedState w14:val="2610" w14:font="MS Gothic"/>
              </w14:checkbox>
            </w:sdtPr>
            <w:sdtEndPr/>
            <w:sdtContent>
              <w:p w14:paraId="4E6BA669" w14:textId="35B08EF7"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4BA42C3" w14:textId="77777777" w:rsidR="00EA4E25" w:rsidRPr="004D0354" w:rsidRDefault="00EA4E25" w:rsidP="00DF7172">
            <w:pPr>
              <w:spacing w:line="276" w:lineRule="auto"/>
              <w:jc w:val="both"/>
              <w:rPr>
                <w:rFonts w:cs="Arial"/>
                <w:szCs w:val="20"/>
              </w:rPr>
            </w:pPr>
            <w:r w:rsidRPr="004D0354">
              <w:t>Excelent</w:t>
            </w:r>
            <w:r>
              <w:t>e</w:t>
            </w:r>
          </w:p>
          <w:sdt>
            <w:sdtPr>
              <w:rPr>
                <w:rFonts w:eastAsia="Arimo" w:cs="Arial"/>
                <w:szCs w:val="20"/>
              </w:rPr>
              <w:id w:val="-1406296761"/>
              <w14:checkbox>
                <w14:checked w14:val="0"/>
                <w14:checkedState w14:val="2612" w14:font="MS Gothic"/>
                <w14:uncheckedState w14:val="2610" w14:font="MS Gothic"/>
              </w14:checkbox>
            </w:sdtPr>
            <w:sdtEndPr/>
            <w:sdtContent>
              <w:p w14:paraId="19054960" w14:textId="08A0202A" w:rsidR="00EA4E25" w:rsidRPr="004D0354" w:rsidRDefault="00EA4E25" w:rsidP="00DF7172">
                <w:pPr>
                  <w:spacing w:line="276" w:lineRule="auto"/>
                  <w:jc w:val="both"/>
                  <w:rPr>
                    <w:rFonts w:cs="Arial"/>
                    <w:szCs w:val="20"/>
                  </w:rPr>
                </w:pPr>
                <w:r w:rsidRPr="004D0354">
                  <w:rPr>
                    <w:rFonts w:ascii="MS Gothic" w:eastAsia="MS Gothic" w:hAnsi="MS Gothic" w:cs="Arial"/>
                    <w:szCs w:val="20"/>
                  </w:rPr>
                  <w:t>☐</w:t>
                </w:r>
              </w:p>
            </w:sdtContent>
          </w:sdt>
        </w:tc>
      </w:tr>
      <w:tr w:rsidR="00EA4E25" w:rsidRPr="00DF7172" w14:paraId="5ECD42E7"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E9F43" w14:textId="77777777" w:rsidR="00EA4E25" w:rsidRDefault="00EA4E25" w:rsidP="00DF7172">
            <w:pPr>
              <w:jc w:val="both"/>
              <w:rPr>
                <w:color w:val="005F9A"/>
                <w:szCs w:val="20"/>
                <w:lang w:val="es-AR"/>
              </w:rPr>
            </w:pPr>
            <w:r>
              <w:rPr>
                <w:color w:val="005F9A"/>
                <w:lang w:val="es-AR"/>
              </w:rPr>
              <w:t>Evidencia para este criterio de evaluación:</w:t>
            </w:r>
          </w:p>
          <w:p w14:paraId="20308311" w14:textId="77777777" w:rsidR="00EA4E25" w:rsidRPr="00C36134" w:rsidRDefault="00EA4E25" w:rsidP="00DF7172">
            <w:pPr>
              <w:jc w:val="both"/>
              <w:rPr>
                <w:color w:val="0000FF"/>
                <w:szCs w:val="20"/>
                <w:lang w:val="es-AR"/>
              </w:rPr>
            </w:pPr>
          </w:p>
          <w:p w14:paraId="7872950E" w14:textId="77777777" w:rsidR="00EA4E25" w:rsidRPr="00656F7F" w:rsidRDefault="00EA4E25" w:rsidP="00DF7172">
            <w:pPr>
              <w:spacing w:line="276" w:lineRule="auto"/>
              <w:jc w:val="both"/>
              <w:rPr>
                <w:rFonts w:cs="Arial"/>
                <w:color w:val="0000FF"/>
                <w:sz w:val="18"/>
                <w:szCs w:val="18"/>
                <w:lang w:val="es-AR"/>
              </w:rPr>
            </w:pPr>
          </w:p>
        </w:tc>
      </w:tr>
    </w:tbl>
    <w:p w14:paraId="11824B22" w14:textId="4D8BDC6C" w:rsidR="00295648" w:rsidRPr="001E138E" w:rsidRDefault="00CE4737" w:rsidP="00DF7172">
      <w:pPr>
        <w:pStyle w:val="Heading4"/>
        <w:jc w:val="both"/>
        <w:rPr>
          <w:rFonts w:cstheme="majorBidi"/>
          <w:lang w:val="es-AR"/>
        </w:rPr>
      </w:pPr>
      <w:r w:rsidRPr="001E138E">
        <w:rPr>
          <w:lang w:val="es-AR"/>
        </w:rPr>
        <w:t xml:space="preserve">Criterio de evaluación </w:t>
      </w:r>
      <w:r w:rsidR="005677F5" w:rsidRPr="001E138E">
        <w:rPr>
          <w:lang w:val="es-AR"/>
        </w:rPr>
        <w:t>2</w:t>
      </w:r>
      <w:r w:rsidR="00295648" w:rsidRPr="001E138E">
        <w:rPr>
          <w:lang w:val="es-AR"/>
        </w:rPr>
        <w:t xml:space="preserve">: </w:t>
      </w:r>
      <w:r w:rsidR="001E138E" w:rsidRPr="001E138E">
        <w:rPr>
          <w:lang w:val="es-AR"/>
        </w:rPr>
        <w:t>Oportunidades de participaci</w:t>
      </w:r>
      <w:r w:rsidR="001E138E">
        <w:rPr>
          <w:lang w:val="es-AR"/>
        </w:rPr>
        <w:t>ón juvenil</w:t>
      </w:r>
    </w:p>
    <w:p w14:paraId="7CCCDD87" w14:textId="1DE4453D" w:rsidR="00295648" w:rsidRPr="001E138E" w:rsidRDefault="001E138E" w:rsidP="00DF7172">
      <w:pPr>
        <w:spacing w:after="120"/>
        <w:jc w:val="both"/>
        <w:rPr>
          <w:rFonts w:eastAsia="Arial" w:cs="Arial"/>
          <w:szCs w:val="20"/>
          <w:lang w:val="es-AR"/>
        </w:rPr>
      </w:pPr>
      <w:r w:rsidRPr="001E138E">
        <w:rPr>
          <w:lang w:val="es-AR"/>
        </w:rPr>
        <w:t>El Parlamento da oportunidades significativas a los jóvenes para participar e involucrarse en aspectos fundamentales del trabajo parlamentario, incluyendo el trabajo en comisiones. Estas formas de participación son sustantivas e influyen en el proceso parlamentario de toma de decisiones.</w:t>
      </w:r>
    </w:p>
    <w:tbl>
      <w:tblPr>
        <w:tblW w:w="4982" w:type="pct"/>
        <w:tblInd w:w="15" w:type="dxa"/>
        <w:tblCellMar>
          <w:left w:w="115" w:type="dxa"/>
          <w:right w:w="115" w:type="dxa"/>
        </w:tblCellMar>
        <w:tblLook w:val="0400" w:firstRow="0" w:lastRow="0" w:firstColumn="0" w:lastColumn="0" w:noHBand="0" w:noVBand="1"/>
      </w:tblPr>
      <w:tblGrid>
        <w:gridCol w:w="1458"/>
        <w:gridCol w:w="1458"/>
        <w:gridCol w:w="1457"/>
        <w:gridCol w:w="1457"/>
        <w:gridCol w:w="1457"/>
        <w:gridCol w:w="1461"/>
      </w:tblGrid>
      <w:tr w:rsidR="00EA4E25" w:rsidRPr="004D0354" w14:paraId="36A7194F"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C28AE3" w14:textId="77777777" w:rsidR="00EA4E25" w:rsidRDefault="00EA4E25" w:rsidP="00DF7172">
            <w:pPr>
              <w:jc w:val="both"/>
              <w:rPr>
                <w:szCs w:val="20"/>
              </w:rPr>
            </w:pPr>
            <w:r>
              <w:t>Inexistente</w:t>
            </w:r>
          </w:p>
          <w:sdt>
            <w:sdtPr>
              <w:rPr>
                <w:rFonts w:eastAsia="Arimo"/>
                <w:szCs w:val="20"/>
              </w:rPr>
              <w:id w:val="-1341691872"/>
              <w14:checkbox>
                <w14:checked w14:val="0"/>
                <w14:checkedState w14:val="2612" w14:font="MS Gothic"/>
                <w14:uncheckedState w14:val="2610" w14:font="MS Gothic"/>
              </w14:checkbox>
            </w:sdtPr>
            <w:sdtEndPr/>
            <w:sdtContent>
              <w:p w14:paraId="20E416F1" w14:textId="6156EED8"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078FF97" w14:textId="77777777" w:rsidR="00EA4E25" w:rsidRDefault="00EA4E25" w:rsidP="00DF7172">
            <w:pPr>
              <w:jc w:val="both"/>
              <w:rPr>
                <w:szCs w:val="20"/>
              </w:rPr>
            </w:pPr>
            <w:r>
              <w:t>Rudimentario</w:t>
            </w:r>
          </w:p>
          <w:sdt>
            <w:sdtPr>
              <w:rPr>
                <w:rFonts w:eastAsia="Arimo"/>
                <w:szCs w:val="20"/>
              </w:rPr>
              <w:id w:val="-523641142"/>
              <w14:checkbox>
                <w14:checked w14:val="0"/>
                <w14:checkedState w14:val="2612" w14:font="MS Gothic"/>
                <w14:uncheckedState w14:val="2610" w14:font="MS Gothic"/>
              </w14:checkbox>
            </w:sdtPr>
            <w:sdtEndPr/>
            <w:sdtContent>
              <w:p w14:paraId="5C807D03" w14:textId="1CF22DE2"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11A003" w14:textId="77777777" w:rsidR="00EA4E25" w:rsidRDefault="00EA4E25" w:rsidP="00DF7172">
            <w:pPr>
              <w:jc w:val="both"/>
              <w:rPr>
                <w:szCs w:val="20"/>
              </w:rPr>
            </w:pPr>
            <w:r>
              <w:t>Básico</w:t>
            </w:r>
          </w:p>
          <w:sdt>
            <w:sdtPr>
              <w:rPr>
                <w:rFonts w:eastAsia="Arimo"/>
                <w:szCs w:val="20"/>
              </w:rPr>
              <w:id w:val="1559671698"/>
              <w14:checkbox>
                <w14:checked w14:val="0"/>
                <w14:checkedState w14:val="2612" w14:font="MS Gothic"/>
                <w14:uncheckedState w14:val="2610" w14:font="MS Gothic"/>
              </w14:checkbox>
            </w:sdtPr>
            <w:sdtEndPr/>
            <w:sdtContent>
              <w:p w14:paraId="28755D44" w14:textId="28348BE0"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49E95" w14:textId="77777777" w:rsidR="00EA4E25" w:rsidRDefault="00EA4E25" w:rsidP="00DF7172">
            <w:pPr>
              <w:jc w:val="both"/>
              <w:rPr>
                <w:szCs w:val="20"/>
              </w:rPr>
            </w:pPr>
            <w:r>
              <w:t>Bueno</w:t>
            </w:r>
          </w:p>
          <w:sdt>
            <w:sdtPr>
              <w:rPr>
                <w:rFonts w:eastAsia="Arimo"/>
                <w:szCs w:val="20"/>
              </w:rPr>
              <w:id w:val="1070456927"/>
              <w14:checkbox>
                <w14:checked w14:val="0"/>
                <w14:checkedState w14:val="2612" w14:font="MS Gothic"/>
                <w14:uncheckedState w14:val="2610" w14:font="MS Gothic"/>
              </w14:checkbox>
            </w:sdtPr>
            <w:sdtEndPr/>
            <w:sdtContent>
              <w:p w14:paraId="2598690C" w14:textId="5694AFFE"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13FDFF" w14:textId="77777777" w:rsidR="00EA4E25" w:rsidRDefault="00EA4E25" w:rsidP="00DF7172">
            <w:pPr>
              <w:jc w:val="both"/>
              <w:rPr>
                <w:szCs w:val="20"/>
              </w:rPr>
            </w:pPr>
            <w:r>
              <w:t>Muy bueno</w:t>
            </w:r>
          </w:p>
          <w:sdt>
            <w:sdtPr>
              <w:rPr>
                <w:rFonts w:eastAsia="Arimo"/>
                <w:szCs w:val="20"/>
              </w:rPr>
              <w:id w:val="-176897287"/>
              <w14:checkbox>
                <w14:checked w14:val="0"/>
                <w14:checkedState w14:val="2612" w14:font="MS Gothic"/>
                <w14:uncheckedState w14:val="2610" w14:font="MS Gothic"/>
              </w14:checkbox>
            </w:sdtPr>
            <w:sdtEndPr/>
            <w:sdtContent>
              <w:p w14:paraId="7BA4E76E" w14:textId="400407B6"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46B16E3" w14:textId="77777777" w:rsidR="00EA4E25" w:rsidRPr="004D0354" w:rsidRDefault="00EA4E25" w:rsidP="00DF7172">
            <w:pPr>
              <w:spacing w:line="276" w:lineRule="auto"/>
              <w:jc w:val="both"/>
              <w:rPr>
                <w:rFonts w:cs="Arial"/>
                <w:szCs w:val="20"/>
              </w:rPr>
            </w:pPr>
            <w:r w:rsidRPr="004D0354">
              <w:t>Excelent</w:t>
            </w:r>
            <w:r>
              <w:t>e</w:t>
            </w:r>
          </w:p>
          <w:sdt>
            <w:sdtPr>
              <w:rPr>
                <w:rFonts w:eastAsia="Arimo" w:cs="Arial"/>
                <w:szCs w:val="20"/>
              </w:rPr>
              <w:id w:val="618186422"/>
              <w14:checkbox>
                <w14:checked w14:val="0"/>
                <w14:checkedState w14:val="2612" w14:font="MS Gothic"/>
                <w14:uncheckedState w14:val="2610" w14:font="MS Gothic"/>
              </w14:checkbox>
            </w:sdtPr>
            <w:sdtEndPr/>
            <w:sdtContent>
              <w:p w14:paraId="01FBDF03" w14:textId="7B59F195" w:rsidR="00EA4E25" w:rsidRPr="004D0354" w:rsidRDefault="00EA4E25" w:rsidP="00DF7172">
                <w:pPr>
                  <w:spacing w:line="276" w:lineRule="auto"/>
                  <w:jc w:val="both"/>
                  <w:rPr>
                    <w:rFonts w:cs="Arial"/>
                    <w:szCs w:val="20"/>
                  </w:rPr>
                </w:pPr>
                <w:r w:rsidRPr="004D0354">
                  <w:rPr>
                    <w:rFonts w:ascii="MS Gothic" w:eastAsia="MS Gothic" w:hAnsi="MS Gothic" w:cs="Arial"/>
                    <w:szCs w:val="20"/>
                  </w:rPr>
                  <w:t>☐</w:t>
                </w:r>
              </w:p>
            </w:sdtContent>
          </w:sdt>
        </w:tc>
      </w:tr>
      <w:tr w:rsidR="00EA4E25" w:rsidRPr="00DF7172" w14:paraId="35D73EC5"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5C947" w14:textId="77777777" w:rsidR="00EA4E25" w:rsidRDefault="00EA4E25" w:rsidP="00DF7172">
            <w:pPr>
              <w:jc w:val="both"/>
              <w:rPr>
                <w:color w:val="005F9A"/>
                <w:szCs w:val="20"/>
                <w:lang w:val="es-AR"/>
              </w:rPr>
            </w:pPr>
            <w:r>
              <w:rPr>
                <w:color w:val="005F9A"/>
                <w:lang w:val="es-AR"/>
              </w:rPr>
              <w:t>Evidencia para este criterio de evaluación:</w:t>
            </w:r>
          </w:p>
          <w:p w14:paraId="41579537" w14:textId="77777777" w:rsidR="00EA4E25" w:rsidRPr="00C36134" w:rsidRDefault="00EA4E25" w:rsidP="00DF7172">
            <w:pPr>
              <w:jc w:val="both"/>
              <w:rPr>
                <w:color w:val="0000FF"/>
                <w:szCs w:val="20"/>
                <w:lang w:val="es-AR"/>
              </w:rPr>
            </w:pPr>
          </w:p>
          <w:p w14:paraId="665068F4" w14:textId="77777777" w:rsidR="00EA4E25" w:rsidRPr="00656F7F" w:rsidRDefault="00EA4E25" w:rsidP="00DF7172">
            <w:pPr>
              <w:spacing w:line="276" w:lineRule="auto"/>
              <w:jc w:val="both"/>
              <w:rPr>
                <w:rFonts w:cs="Arial"/>
                <w:color w:val="0000FF"/>
                <w:sz w:val="18"/>
                <w:szCs w:val="18"/>
                <w:lang w:val="es-AR"/>
              </w:rPr>
            </w:pPr>
          </w:p>
        </w:tc>
      </w:tr>
    </w:tbl>
    <w:p w14:paraId="3AC863FD" w14:textId="25AFFEA4" w:rsidR="00295648" w:rsidRPr="00656F7F" w:rsidRDefault="00CE4737" w:rsidP="00DF7172">
      <w:pPr>
        <w:pStyle w:val="Heading4"/>
        <w:jc w:val="both"/>
        <w:rPr>
          <w:lang w:val="es-AR"/>
        </w:rPr>
      </w:pPr>
      <w:r>
        <w:rPr>
          <w:lang w:val="es-AR"/>
        </w:rPr>
        <w:t xml:space="preserve">Criterio de evaluación </w:t>
      </w:r>
      <w:r w:rsidR="00182862" w:rsidRPr="00656F7F">
        <w:rPr>
          <w:lang w:val="es-AR"/>
        </w:rPr>
        <w:t>3</w:t>
      </w:r>
      <w:r w:rsidR="00295648" w:rsidRPr="00656F7F">
        <w:rPr>
          <w:lang w:val="es-AR"/>
        </w:rPr>
        <w:t xml:space="preserve">: </w:t>
      </w:r>
      <w:r w:rsidR="00D32CA6" w:rsidRPr="00656F7F">
        <w:rPr>
          <w:lang w:val="es-AR"/>
        </w:rPr>
        <w:t>Inclu</w:t>
      </w:r>
      <w:r w:rsidR="00306087">
        <w:rPr>
          <w:lang w:val="es-AR"/>
        </w:rPr>
        <w:t xml:space="preserve">sión de la juventud y programas </w:t>
      </w:r>
      <w:r w:rsidR="00D32CA6" w:rsidRPr="00656F7F">
        <w:rPr>
          <w:lang w:val="es-AR"/>
        </w:rPr>
        <w:t>educativos</w:t>
      </w:r>
    </w:p>
    <w:p w14:paraId="7A2A32BB" w14:textId="4CBAE283" w:rsidR="00295648" w:rsidRPr="001E138E" w:rsidRDefault="001E138E" w:rsidP="00DF7172">
      <w:pPr>
        <w:spacing w:after="120"/>
        <w:jc w:val="both"/>
        <w:rPr>
          <w:rFonts w:eastAsia="Arial" w:cs="Arial"/>
          <w:color w:val="000000"/>
          <w:szCs w:val="20"/>
          <w:lang w:val="es-AR"/>
        </w:rPr>
      </w:pPr>
      <w:r w:rsidRPr="001E138E">
        <w:rPr>
          <w:lang w:val="es-AR"/>
        </w:rPr>
        <w:t>El Parlamento ha desarrollado programas diversos, significativos y adaptados a los jóvenes para lograr su inclusión y educación, incluyendo programas desarrollados en conjunto con escuelas, universidades y organizaciones juveniles.</w:t>
      </w:r>
    </w:p>
    <w:tbl>
      <w:tblPr>
        <w:tblW w:w="4988" w:type="pct"/>
        <w:tblInd w:w="10" w:type="dxa"/>
        <w:tblCellMar>
          <w:left w:w="115" w:type="dxa"/>
          <w:right w:w="115" w:type="dxa"/>
        </w:tblCellMar>
        <w:tblLook w:val="0400" w:firstRow="0" w:lastRow="0" w:firstColumn="0" w:lastColumn="0" w:noHBand="0" w:noVBand="1"/>
      </w:tblPr>
      <w:tblGrid>
        <w:gridCol w:w="1460"/>
        <w:gridCol w:w="1459"/>
        <w:gridCol w:w="1459"/>
        <w:gridCol w:w="1459"/>
        <w:gridCol w:w="1459"/>
        <w:gridCol w:w="1463"/>
      </w:tblGrid>
      <w:tr w:rsidR="00EA4E25" w:rsidRPr="004D0354" w14:paraId="4CE736C8"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EF66D2D" w14:textId="77777777" w:rsidR="00EA4E25" w:rsidRDefault="00EA4E25" w:rsidP="00DF7172">
            <w:pPr>
              <w:jc w:val="both"/>
              <w:rPr>
                <w:szCs w:val="20"/>
              </w:rPr>
            </w:pPr>
            <w:r>
              <w:t>Inexistente</w:t>
            </w:r>
          </w:p>
          <w:sdt>
            <w:sdtPr>
              <w:rPr>
                <w:rFonts w:eastAsia="Arimo"/>
                <w:szCs w:val="20"/>
              </w:rPr>
              <w:id w:val="293732372"/>
              <w14:checkbox>
                <w14:checked w14:val="0"/>
                <w14:checkedState w14:val="2612" w14:font="MS Gothic"/>
                <w14:uncheckedState w14:val="2610" w14:font="MS Gothic"/>
              </w14:checkbox>
            </w:sdtPr>
            <w:sdtEndPr/>
            <w:sdtContent>
              <w:p w14:paraId="323D184C" w14:textId="1EC6FE17"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AC48220" w14:textId="77777777" w:rsidR="00EA4E25" w:rsidRDefault="00EA4E25" w:rsidP="00DF7172">
            <w:pPr>
              <w:jc w:val="both"/>
              <w:rPr>
                <w:szCs w:val="20"/>
              </w:rPr>
            </w:pPr>
            <w:r>
              <w:t>Rudimentario</w:t>
            </w:r>
          </w:p>
          <w:sdt>
            <w:sdtPr>
              <w:rPr>
                <w:rFonts w:eastAsia="Arimo"/>
                <w:szCs w:val="20"/>
              </w:rPr>
              <w:id w:val="1045336524"/>
              <w14:checkbox>
                <w14:checked w14:val="0"/>
                <w14:checkedState w14:val="2612" w14:font="MS Gothic"/>
                <w14:uncheckedState w14:val="2610" w14:font="MS Gothic"/>
              </w14:checkbox>
            </w:sdtPr>
            <w:sdtEndPr/>
            <w:sdtContent>
              <w:p w14:paraId="7EA78598" w14:textId="0FC10741"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15803F" w14:textId="77777777" w:rsidR="00EA4E25" w:rsidRDefault="00EA4E25" w:rsidP="00DF7172">
            <w:pPr>
              <w:jc w:val="both"/>
              <w:rPr>
                <w:szCs w:val="20"/>
              </w:rPr>
            </w:pPr>
            <w:r>
              <w:t>Básico</w:t>
            </w:r>
          </w:p>
          <w:sdt>
            <w:sdtPr>
              <w:rPr>
                <w:rFonts w:eastAsia="Arimo"/>
                <w:szCs w:val="20"/>
              </w:rPr>
              <w:id w:val="-1384088539"/>
              <w14:checkbox>
                <w14:checked w14:val="0"/>
                <w14:checkedState w14:val="2612" w14:font="MS Gothic"/>
                <w14:uncheckedState w14:val="2610" w14:font="MS Gothic"/>
              </w14:checkbox>
            </w:sdtPr>
            <w:sdtEndPr/>
            <w:sdtContent>
              <w:p w14:paraId="21A0AA80" w14:textId="6DE5EC97"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D0501A4" w14:textId="77777777" w:rsidR="00EA4E25" w:rsidRDefault="00EA4E25" w:rsidP="00DF7172">
            <w:pPr>
              <w:jc w:val="both"/>
              <w:rPr>
                <w:szCs w:val="20"/>
              </w:rPr>
            </w:pPr>
            <w:r>
              <w:t>Bueno</w:t>
            </w:r>
          </w:p>
          <w:sdt>
            <w:sdtPr>
              <w:rPr>
                <w:rFonts w:eastAsia="Arimo"/>
                <w:szCs w:val="20"/>
              </w:rPr>
              <w:id w:val="-319272874"/>
              <w14:checkbox>
                <w14:checked w14:val="0"/>
                <w14:checkedState w14:val="2612" w14:font="MS Gothic"/>
                <w14:uncheckedState w14:val="2610" w14:font="MS Gothic"/>
              </w14:checkbox>
            </w:sdtPr>
            <w:sdtEndPr/>
            <w:sdtContent>
              <w:p w14:paraId="0CA3762F" w14:textId="241CDCA0"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8BFD51" w14:textId="77777777" w:rsidR="00EA4E25" w:rsidRDefault="00EA4E25" w:rsidP="00DF7172">
            <w:pPr>
              <w:jc w:val="both"/>
              <w:rPr>
                <w:szCs w:val="20"/>
              </w:rPr>
            </w:pPr>
            <w:r>
              <w:t>Muy bueno</w:t>
            </w:r>
          </w:p>
          <w:sdt>
            <w:sdtPr>
              <w:rPr>
                <w:rFonts w:eastAsia="Arimo"/>
                <w:szCs w:val="20"/>
              </w:rPr>
              <w:id w:val="1808973805"/>
              <w14:checkbox>
                <w14:checked w14:val="0"/>
                <w14:checkedState w14:val="2612" w14:font="MS Gothic"/>
                <w14:uncheckedState w14:val="2610" w14:font="MS Gothic"/>
              </w14:checkbox>
            </w:sdtPr>
            <w:sdtEndPr/>
            <w:sdtContent>
              <w:p w14:paraId="056D4E16" w14:textId="0481E8F8"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CE7E89F" w14:textId="77777777" w:rsidR="00EA4E25" w:rsidRPr="004D0354" w:rsidRDefault="00EA4E25" w:rsidP="00DF7172">
            <w:pPr>
              <w:spacing w:line="276" w:lineRule="auto"/>
              <w:jc w:val="both"/>
              <w:rPr>
                <w:rFonts w:cs="Arial"/>
                <w:szCs w:val="20"/>
              </w:rPr>
            </w:pPr>
            <w:r w:rsidRPr="004D0354">
              <w:t>Excelent</w:t>
            </w:r>
            <w:r>
              <w:t>e</w:t>
            </w:r>
          </w:p>
          <w:sdt>
            <w:sdtPr>
              <w:rPr>
                <w:rFonts w:eastAsia="Arimo" w:cs="Arial"/>
                <w:szCs w:val="20"/>
              </w:rPr>
              <w:id w:val="1441717568"/>
              <w14:checkbox>
                <w14:checked w14:val="0"/>
                <w14:checkedState w14:val="2612" w14:font="MS Gothic"/>
                <w14:uncheckedState w14:val="2610" w14:font="MS Gothic"/>
              </w14:checkbox>
            </w:sdtPr>
            <w:sdtEndPr/>
            <w:sdtContent>
              <w:p w14:paraId="77532CB6" w14:textId="17D41EAA" w:rsidR="00EA4E25" w:rsidRPr="004D0354" w:rsidRDefault="00EA4E25" w:rsidP="00DF7172">
                <w:pPr>
                  <w:spacing w:line="276" w:lineRule="auto"/>
                  <w:jc w:val="both"/>
                  <w:rPr>
                    <w:rFonts w:cs="Arial"/>
                    <w:szCs w:val="20"/>
                  </w:rPr>
                </w:pPr>
                <w:r w:rsidRPr="004D0354">
                  <w:rPr>
                    <w:rFonts w:ascii="MS Gothic" w:eastAsia="MS Gothic" w:hAnsi="MS Gothic" w:cs="Arial"/>
                    <w:szCs w:val="20"/>
                  </w:rPr>
                  <w:t>☐</w:t>
                </w:r>
              </w:p>
            </w:sdtContent>
          </w:sdt>
        </w:tc>
      </w:tr>
      <w:tr w:rsidR="00EA4E25" w:rsidRPr="00DF7172" w14:paraId="1E9B3306"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91FD2" w14:textId="77777777" w:rsidR="00EA4E25" w:rsidRDefault="00EA4E25" w:rsidP="00DF7172">
            <w:pPr>
              <w:jc w:val="both"/>
              <w:rPr>
                <w:color w:val="005F9A"/>
                <w:szCs w:val="20"/>
                <w:lang w:val="es-AR"/>
              </w:rPr>
            </w:pPr>
            <w:r>
              <w:rPr>
                <w:color w:val="005F9A"/>
                <w:lang w:val="es-AR"/>
              </w:rPr>
              <w:t>Evidencia para este criterio de evaluación:</w:t>
            </w:r>
          </w:p>
          <w:p w14:paraId="5636A0BE" w14:textId="77777777" w:rsidR="00EA4E25" w:rsidRPr="00C36134" w:rsidRDefault="00EA4E25" w:rsidP="00DF7172">
            <w:pPr>
              <w:jc w:val="both"/>
              <w:rPr>
                <w:color w:val="0000FF"/>
                <w:szCs w:val="20"/>
                <w:lang w:val="es-AR"/>
              </w:rPr>
            </w:pPr>
          </w:p>
          <w:p w14:paraId="7675C1DD" w14:textId="77777777" w:rsidR="00EA4E25" w:rsidRPr="00656F7F" w:rsidRDefault="00EA4E25" w:rsidP="00DF7172">
            <w:pPr>
              <w:spacing w:line="276" w:lineRule="auto"/>
              <w:jc w:val="both"/>
              <w:rPr>
                <w:rFonts w:cs="Arial"/>
                <w:color w:val="0000FF"/>
                <w:sz w:val="18"/>
                <w:szCs w:val="18"/>
                <w:lang w:val="es-AR"/>
              </w:rPr>
            </w:pPr>
          </w:p>
        </w:tc>
      </w:tr>
    </w:tbl>
    <w:p w14:paraId="0B38A138" w14:textId="0B876E42" w:rsidR="008259E2" w:rsidRPr="00DF7172" w:rsidRDefault="00CE4737" w:rsidP="00DF7172">
      <w:pPr>
        <w:pStyle w:val="Heading4"/>
        <w:jc w:val="both"/>
        <w:rPr>
          <w:lang w:val="es-US"/>
        </w:rPr>
      </w:pPr>
      <w:r w:rsidRPr="00DF7172">
        <w:rPr>
          <w:lang w:val="es-US"/>
        </w:rPr>
        <w:t xml:space="preserve">Criterio de evaluación </w:t>
      </w:r>
      <w:r w:rsidR="00182862" w:rsidRPr="00DF7172">
        <w:rPr>
          <w:lang w:val="es-US"/>
        </w:rPr>
        <w:t>4</w:t>
      </w:r>
      <w:r w:rsidR="008259E2" w:rsidRPr="00DF7172">
        <w:rPr>
          <w:lang w:val="es-US"/>
        </w:rPr>
        <w:t xml:space="preserve">: </w:t>
      </w:r>
      <w:r w:rsidR="00D32CA6" w:rsidRPr="00DF7172">
        <w:rPr>
          <w:lang w:val="es-US"/>
        </w:rPr>
        <w:t>Mejora continua</w:t>
      </w:r>
    </w:p>
    <w:p w14:paraId="52873775" w14:textId="3D0C8EC3" w:rsidR="008259E2" w:rsidRPr="001E138E" w:rsidRDefault="001E138E" w:rsidP="00DF7172">
      <w:pPr>
        <w:spacing w:after="120"/>
        <w:jc w:val="both"/>
        <w:rPr>
          <w:rFonts w:eastAsia="Arial" w:cs="Arial"/>
          <w:color w:val="000000"/>
          <w:szCs w:val="20"/>
          <w:lang w:val="es-AR"/>
        </w:rPr>
      </w:pPr>
      <w:r w:rsidRPr="001E138E">
        <w:rPr>
          <w:lang w:val="es-AR"/>
        </w:rPr>
        <w:t>El Parlamento recopila datos y aportes de los participantes sobre sus programas educativos y de inclusión de los jóvenes con el fin de lograr su mejora continua.</w:t>
      </w:r>
      <w:r w:rsidR="008259E2" w:rsidRPr="001E138E">
        <w:rPr>
          <w:color w:val="000000"/>
          <w:lang w:val="es-AR"/>
        </w:rPr>
        <w:t xml:space="preserve"> </w:t>
      </w:r>
    </w:p>
    <w:tbl>
      <w:tblPr>
        <w:tblW w:w="4988" w:type="pct"/>
        <w:tblInd w:w="10" w:type="dxa"/>
        <w:tblCellMar>
          <w:left w:w="115" w:type="dxa"/>
          <w:right w:w="115" w:type="dxa"/>
        </w:tblCellMar>
        <w:tblLook w:val="0400" w:firstRow="0" w:lastRow="0" w:firstColumn="0" w:lastColumn="0" w:noHBand="0" w:noVBand="1"/>
      </w:tblPr>
      <w:tblGrid>
        <w:gridCol w:w="1460"/>
        <w:gridCol w:w="1459"/>
        <w:gridCol w:w="1459"/>
        <w:gridCol w:w="1459"/>
        <w:gridCol w:w="1459"/>
        <w:gridCol w:w="1463"/>
      </w:tblGrid>
      <w:tr w:rsidR="00EA4E25" w:rsidRPr="004D0354" w14:paraId="643BE347" w14:textId="77777777" w:rsidTr="00EA4E2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388B77" w14:textId="77777777" w:rsidR="00EA4E25" w:rsidRDefault="00EA4E25" w:rsidP="00DF7172">
            <w:pPr>
              <w:jc w:val="both"/>
              <w:rPr>
                <w:szCs w:val="20"/>
              </w:rPr>
            </w:pPr>
            <w:r>
              <w:lastRenderedPageBreak/>
              <w:t>Inexistente</w:t>
            </w:r>
          </w:p>
          <w:sdt>
            <w:sdtPr>
              <w:rPr>
                <w:rFonts w:eastAsia="Arimo"/>
                <w:szCs w:val="20"/>
              </w:rPr>
              <w:id w:val="-1170413935"/>
              <w14:checkbox>
                <w14:checked w14:val="0"/>
                <w14:checkedState w14:val="2612" w14:font="MS Gothic"/>
                <w14:uncheckedState w14:val="2610" w14:font="MS Gothic"/>
              </w14:checkbox>
            </w:sdtPr>
            <w:sdtEndPr/>
            <w:sdtContent>
              <w:p w14:paraId="2229B6FC" w14:textId="734B387C"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B0690D" w14:textId="77777777" w:rsidR="00EA4E25" w:rsidRDefault="00EA4E25" w:rsidP="00DF7172">
            <w:pPr>
              <w:jc w:val="both"/>
              <w:rPr>
                <w:szCs w:val="20"/>
              </w:rPr>
            </w:pPr>
            <w:r>
              <w:t>Rudimentario</w:t>
            </w:r>
          </w:p>
          <w:sdt>
            <w:sdtPr>
              <w:rPr>
                <w:rFonts w:eastAsia="Arimo"/>
                <w:szCs w:val="20"/>
              </w:rPr>
              <w:id w:val="-979995874"/>
              <w14:checkbox>
                <w14:checked w14:val="0"/>
                <w14:checkedState w14:val="2612" w14:font="MS Gothic"/>
                <w14:uncheckedState w14:val="2610" w14:font="MS Gothic"/>
              </w14:checkbox>
            </w:sdtPr>
            <w:sdtEndPr/>
            <w:sdtContent>
              <w:p w14:paraId="65F66D23" w14:textId="22BB0904"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7AFEB6" w14:textId="77777777" w:rsidR="00EA4E25" w:rsidRDefault="00EA4E25" w:rsidP="00DF7172">
            <w:pPr>
              <w:jc w:val="both"/>
              <w:rPr>
                <w:szCs w:val="20"/>
              </w:rPr>
            </w:pPr>
            <w:r>
              <w:t>Básico</w:t>
            </w:r>
          </w:p>
          <w:sdt>
            <w:sdtPr>
              <w:rPr>
                <w:rFonts w:eastAsia="Arimo"/>
                <w:szCs w:val="20"/>
              </w:rPr>
              <w:id w:val="-1647581750"/>
              <w14:checkbox>
                <w14:checked w14:val="0"/>
                <w14:checkedState w14:val="2612" w14:font="MS Gothic"/>
                <w14:uncheckedState w14:val="2610" w14:font="MS Gothic"/>
              </w14:checkbox>
            </w:sdtPr>
            <w:sdtEndPr/>
            <w:sdtContent>
              <w:p w14:paraId="7421B940" w14:textId="728A8307"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F4AD8C2" w14:textId="77777777" w:rsidR="00EA4E25" w:rsidRDefault="00EA4E25" w:rsidP="00DF7172">
            <w:pPr>
              <w:jc w:val="both"/>
              <w:rPr>
                <w:szCs w:val="20"/>
              </w:rPr>
            </w:pPr>
            <w:r>
              <w:t>Bueno</w:t>
            </w:r>
          </w:p>
          <w:sdt>
            <w:sdtPr>
              <w:rPr>
                <w:rFonts w:eastAsia="Arimo"/>
                <w:szCs w:val="20"/>
              </w:rPr>
              <w:id w:val="-604196674"/>
              <w14:checkbox>
                <w14:checked w14:val="0"/>
                <w14:checkedState w14:val="2612" w14:font="MS Gothic"/>
                <w14:uncheckedState w14:val="2610" w14:font="MS Gothic"/>
              </w14:checkbox>
            </w:sdtPr>
            <w:sdtEndPr/>
            <w:sdtContent>
              <w:p w14:paraId="6587AA02" w14:textId="256A79D2" w:rsidR="00EA4E25" w:rsidRPr="004D0354" w:rsidRDefault="00EA4E25" w:rsidP="00DF7172">
                <w:pPr>
                  <w:spacing w:line="276" w:lineRule="auto"/>
                  <w:jc w:val="both"/>
                  <w:rPr>
                    <w:rFonts w:cs="Arial"/>
                    <w:szCs w:val="20"/>
                  </w:rPr>
                </w:pPr>
                <w:r>
                  <w:rPr>
                    <w:rFonts w:ascii="Segoe UI Symbol" w:eastAsia="MS Gothic" w:hAnsi="Segoe UI Symbol" w:cs="Segoe UI Symbol"/>
                    <w:szCs w:val="20"/>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0D293D5" w14:textId="77777777" w:rsidR="00EA4E25" w:rsidRDefault="00EA4E25" w:rsidP="00DF7172">
            <w:pPr>
              <w:jc w:val="both"/>
              <w:rPr>
                <w:szCs w:val="20"/>
              </w:rPr>
            </w:pPr>
            <w:r>
              <w:t>Muy bueno</w:t>
            </w:r>
          </w:p>
          <w:sdt>
            <w:sdtPr>
              <w:rPr>
                <w:rFonts w:eastAsia="Arimo"/>
                <w:szCs w:val="20"/>
              </w:rPr>
              <w:id w:val="-937516867"/>
              <w14:checkbox>
                <w14:checked w14:val="0"/>
                <w14:checkedState w14:val="2612" w14:font="MS Gothic"/>
                <w14:uncheckedState w14:val="2610" w14:font="MS Gothic"/>
              </w14:checkbox>
            </w:sdtPr>
            <w:sdtEndPr/>
            <w:sdtContent>
              <w:p w14:paraId="1D92FACD" w14:textId="397E3729" w:rsidR="00EA4E25" w:rsidRPr="004D0354" w:rsidRDefault="00EA4E25" w:rsidP="00DF7172">
                <w:pPr>
                  <w:spacing w:line="276" w:lineRule="auto"/>
                  <w:jc w:val="both"/>
                  <w:rPr>
                    <w:rFonts w:cs="Arial"/>
                    <w:szCs w:val="20"/>
                  </w:rPr>
                </w:pPr>
                <w:r>
                  <w:rPr>
                    <w:rFonts w:ascii="Segoe UI Symbol" w:eastAsia="Arimo" w:hAnsi="Segoe UI Symbol" w:cs="Segoe UI Symbol"/>
                    <w:szCs w:val="20"/>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C32CD18" w14:textId="77777777" w:rsidR="00EA4E25" w:rsidRPr="004D0354" w:rsidRDefault="00EA4E25" w:rsidP="00DF7172">
            <w:pPr>
              <w:spacing w:line="276" w:lineRule="auto"/>
              <w:jc w:val="both"/>
              <w:rPr>
                <w:rFonts w:cs="Arial"/>
                <w:szCs w:val="20"/>
              </w:rPr>
            </w:pPr>
            <w:r w:rsidRPr="004D0354">
              <w:t>Excelent</w:t>
            </w:r>
            <w:r>
              <w:t>e</w:t>
            </w:r>
          </w:p>
          <w:sdt>
            <w:sdtPr>
              <w:rPr>
                <w:rFonts w:eastAsia="Arimo" w:cs="Arial"/>
                <w:szCs w:val="20"/>
              </w:rPr>
              <w:id w:val="-444771637"/>
              <w14:checkbox>
                <w14:checked w14:val="0"/>
                <w14:checkedState w14:val="2612" w14:font="MS Gothic"/>
                <w14:uncheckedState w14:val="2610" w14:font="MS Gothic"/>
              </w14:checkbox>
            </w:sdtPr>
            <w:sdtEndPr/>
            <w:sdtContent>
              <w:p w14:paraId="2DE278AA" w14:textId="63F2DF91" w:rsidR="00EA4E25" w:rsidRPr="004D0354" w:rsidRDefault="00EA4E25" w:rsidP="00DF7172">
                <w:pPr>
                  <w:spacing w:line="276" w:lineRule="auto"/>
                  <w:jc w:val="both"/>
                  <w:rPr>
                    <w:rFonts w:cs="Arial"/>
                    <w:szCs w:val="20"/>
                  </w:rPr>
                </w:pPr>
                <w:r w:rsidRPr="004D0354">
                  <w:rPr>
                    <w:rFonts w:ascii="MS Gothic" w:eastAsia="MS Gothic" w:hAnsi="MS Gothic" w:cs="Arial"/>
                    <w:szCs w:val="20"/>
                  </w:rPr>
                  <w:t>☐</w:t>
                </w:r>
              </w:p>
            </w:sdtContent>
          </w:sdt>
        </w:tc>
      </w:tr>
      <w:tr w:rsidR="00EA4E25" w:rsidRPr="00DF7172" w14:paraId="48ECD3A6" w14:textId="77777777" w:rsidTr="00EA4E2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77B34F" w14:textId="77777777" w:rsidR="00EA4E25" w:rsidRDefault="00EA4E25" w:rsidP="00DF7172">
            <w:pPr>
              <w:jc w:val="both"/>
              <w:rPr>
                <w:color w:val="005F9A"/>
                <w:szCs w:val="20"/>
                <w:lang w:val="es-AR"/>
              </w:rPr>
            </w:pPr>
            <w:r>
              <w:rPr>
                <w:color w:val="005F9A"/>
                <w:lang w:val="es-AR"/>
              </w:rPr>
              <w:t>Evidencia para este criterio de evaluación:</w:t>
            </w:r>
          </w:p>
          <w:p w14:paraId="4626E4A5" w14:textId="77777777" w:rsidR="00EA4E25" w:rsidRPr="00C36134" w:rsidRDefault="00EA4E25" w:rsidP="00DF7172">
            <w:pPr>
              <w:jc w:val="both"/>
              <w:rPr>
                <w:color w:val="0000FF"/>
                <w:szCs w:val="20"/>
                <w:lang w:val="es-AR"/>
              </w:rPr>
            </w:pPr>
          </w:p>
          <w:p w14:paraId="086C9716" w14:textId="77777777" w:rsidR="00EA4E25" w:rsidRPr="00656F7F" w:rsidRDefault="00EA4E25" w:rsidP="00DF7172">
            <w:pPr>
              <w:spacing w:line="276" w:lineRule="auto"/>
              <w:jc w:val="both"/>
              <w:rPr>
                <w:rFonts w:cs="Arial"/>
                <w:color w:val="0000FF"/>
                <w:sz w:val="18"/>
                <w:szCs w:val="18"/>
                <w:lang w:val="es-AR"/>
              </w:rPr>
            </w:pPr>
          </w:p>
        </w:tc>
      </w:tr>
    </w:tbl>
    <w:p w14:paraId="3CE81809" w14:textId="77777777" w:rsidR="007E7F51" w:rsidRPr="00656F7F" w:rsidRDefault="007E7F51" w:rsidP="00DF7172">
      <w:pPr>
        <w:pStyle w:val="section-title"/>
        <w:jc w:val="both"/>
      </w:pPr>
    </w:p>
    <w:p w14:paraId="4ED7B303" w14:textId="77777777" w:rsidR="00CE4737" w:rsidRPr="00383F06" w:rsidRDefault="00CE4737" w:rsidP="00DF7172">
      <w:pPr>
        <w:pStyle w:val="section-title"/>
        <w:jc w:val="both"/>
      </w:pPr>
      <w:r>
        <w:t>Recomendac</w:t>
      </w:r>
      <w:r w:rsidRPr="00383F06">
        <w:t>ion</w:t>
      </w:r>
      <w:r>
        <w:t>e</w:t>
      </w:r>
      <w:r w:rsidRPr="00383F06">
        <w:t>s</w:t>
      </w:r>
      <w:r>
        <w:t xml:space="preserve"> para el cambio</w:t>
      </w:r>
    </w:p>
    <w:tbl>
      <w:tblPr>
        <w:tblStyle w:val="TableGrid"/>
        <w:tblW w:w="5000" w:type="pct"/>
        <w:tblCellMar>
          <w:left w:w="115" w:type="dxa"/>
          <w:right w:w="115" w:type="dxa"/>
        </w:tblCellMar>
        <w:tblLook w:val="04A0" w:firstRow="1" w:lastRow="0" w:firstColumn="1" w:lastColumn="0" w:noHBand="0" w:noVBand="1"/>
      </w:tblPr>
      <w:tblGrid>
        <w:gridCol w:w="8780"/>
      </w:tblGrid>
      <w:tr w:rsidR="00CC0749" w:rsidRPr="00DF7172" w14:paraId="1D73706D" w14:textId="77777777" w:rsidTr="00CC0749">
        <w:trPr>
          <w:trHeight w:val="1440"/>
        </w:trPr>
        <w:tc>
          <w:tcPr>
            <w:tcW w:w="5000" w:type="pct"/>
            <w:tcBorders>
              <w:top w:val="single" w:sz="4" w:space="0" w:color="auto"/>
              <w:left w:val="single" w:sz="4" w:space="0" w:color="auto"/>
              <w:bottom w:val="single" w:sz="4" w:space="0" w:color="auto"/>
              <w:right w:val="single" w:sz="4" w:space="0" w:color="auto"/>
            </w:tcBorders>
          </w:tcPr>
          <w:p w14:paraId="04F00DB0" w14:textId="11F49307" w:rsidR="00EA4E25" w:rsidRDefault="00EA4E25" w:rsidP="00DF7172">
            <w:pPr>
              <w:spacing w:before="120"/>
              <w:jc w:val="both"/>
              <w:rPr>
                <w:szCs w:val="20"/>
                <w:lang w:val="es-AR"/>
              </w:rPr>
            </w:pPr>
            <w:r>
              <w:rPr>
                <w:i/>
                <w:shd w:val="clear" w:color="auto" w:fill="FFFFFF"/>
                <w:lang w:val="es-AR"/>
              </w:rPr>
              <w:t>Utilice este espacio para anotar las recomendaciones y las ideas para fortalecer las reglamentaciones y prácticas en esta área.</w:t>
            </w:r>
          </w:p>
          <w:p w14:paraId="244F9E2A" w14:textId="064AF6F0" w:rsidR="00CC0749" w:rsidRPr="00656F7F" w:rsidRDefault="00CC0749" w:rsidP="00DF7172">
            <w:pPr>
              <w:jc w:val="both"/>
              <w:rPr>
                <w:szCs w:val="20"/>
                <w:lang w:val="es-AR"/>
              </w:rPr>
            </w:pPr>
          </w:p>
        </w:tc>
      </w:tr>
    </w:tbl>
    <w:p w14:paraId="2EEEEBB6" w14:textId="77777777" w:rsidR="007E7F51" w:rsidRPr="00656F7F" w:rsidRDefault="007E7F51" w:rsidP="00DF7172">
      <w:pPr>
        <w:pStyle w:val="section-title"/>
        <w:jc w:val="both"/>
      </w:pPr>
    </w:p>
    <w:p w14:paraId="4FBA3199" w14:textId="361ACCA4" w:rsidR="0043584A" w:rsidRPr="004D0354" w:rsidRDefault="00CE4737" w:rsidP="00DF7172">
      <w:pPr>
        <w:pStyle w:val="section-title"/>
        <w:jc w:val="both"/>
      </w:pPr>
      <w:r>
        <w:t>Fuentes y lecturas adicionales</w:t>
      </w:r>
    </w:p>
    <w:p w14:paraId="1DBE2E9B" w14:textId="208125BE" w:rsidR="00295648" w:rsidRPr="004D0354" w:rsidRDefault="005F0D28" w:rsidP="00DF7172">
      <w:pPr>
        <w:numPr>
          <w:ilvl w:val="0"/>
          <w:numId w:val="15"/>
        </w:numPr>
        <w:pBdr>
          <w:top w:val="nil"/>
          <w:left w:val="nil"/>
          <w:bottom w:val="nil"/>
          <w:right w:val="nil"/>
          <w:between w:val="nil"/>
        </w:pBdr>
        <w:ind w:left="562" w:hanging="562"/>
        <w:jc w:val="both"/>
        <w:rPr>
          <w:rFonts w:eastAsia="Arial" w:cs="Arial"/>
          <w:szCs w:val="20"/>
        </w:rPr>
      </w:pPr>
      <w:r w:rsidRPr="004D0354">
        <w:rPr>
          <w:color w:val="000000"/>
        </w:rPr>
        <w:t>Inter-Parliamentary Union (IPU),</w:t>
      </w:r>
      <w:hyperlink r:id="rId35">
        <w:r w:rsidR="00295648" w:rsidRPr="004D0354">
          <w:rPr>
            <w:color w:val="000000"/>
          </w:rPr>
          <w:t xml:space="preserve"> </w:t>
        </w:r>
      </w:hyperlink>
      <w:hyperlink r:id="rId36">
        <w:r w:rsidR="001D15BF" w:rsidRPr="004D0354">
          <w:rPr>
            <w:rStyle w:val="Hyperlink"/>
            <w:i/>
            <w:iCs/>
          </w:rPr>
          <w:t>Y</w:t>
        </w:r>
        <w:r w:rsidR="00295648" w:rsidRPr="004D0354">
          <w:rPr>
            <w:rStyle w:val="Hyperlink"/>
            <w:i/>
            <w:iCs/>
          </w:rPr>
          <w:t>outh participation in the democratic process</w:t>
        </w:r>
      </w:hyperlink>
      <w:r w:rsidR="001D15BF" w:rsidRPr="004D0354">
        <w:t>, r</w:t>
      </w:r>
      <w:r w:rsidR="00295648" w:rsidRPr="004D0354">
        <w:t>esolution adopted by consensus by the 122nd IPU Assembly (2010).</w:t>
      </w:r>
    </w:p>
    <w:p w14:paraId="6FDA141E" w14:textId="4D6CD1C3" w:rsidR="0001091D" w:rsidRPr="004D0354" w:rsidRDefault="0001091D" w:rsidP="00DF7172">
      <w:pPr>
        <w:numPr>
          <w:ilvl w:val="0"/>
          <w:numId w:val="15"/>
        </w:numPr>
        <w:pBdr>
          <w:top w:val="nil"/>
          <w:left w:val="nil"/>
          <w:bottom w:val="nil"/>
          <w:right w:val="nil"/>
          <w:between w:val="nil"/>
        </w:pBdr>
        <w:ind w:left="562" w:hanging="562"/>
        <w:jc w:val="both"/>
        <w:rPr>
          <w:rFonts w:eastAsia="Arial" w:cs="Arial"/>
          <w:szCs w:val="20"/>
        </w:rPr>
      </w:pPr>
      <w:r w:rsidRPr="004D0354">
        <w:rPr>
          <w:color w:val="000000"/>
        </w:rPr>
        <w:t>IPU,</w:t>
      </w:r>
      <w:hyperlink r:id="rId37">
        <w:r w:rsidRPr="004D0354">
          <w:rPr>
            <w:color w:val="000000"/>
          </w:rPr>
          <w:t xml:space="preserve"> </w:t>
        </w:r>
      </w:hyperlink>
      <w:hyperlink r:id="rId38">
        <w:r w:rsidRPr="004D0354">
          <w:rPr>
            <w:rStyle w:val="Hyperlink"/>
            <w:i/>
            <w:iCs/>
          </w:rPr>
          <w:t>Handbook on Child Participation in Parliament</w:t>
        </w:r>
      </w:hyperlink>
      <w:r w:rsidRPr="004D0354">
        <w:rPr>
          <w:color w:val="000000"/>
        </w:rPr>
        <w:t xml:space="preserve"> (2011).</w:t>
      </w:r>
    </w:p>
    <w:p w14:paraId="63E72293" w14:textId="38D350CB" w:rsidR="00295648" w:rsidRPr="004D0354" w:rsidRDefault="00295648" w:rsidP="00DF7172">
      <w:pPr>
        <w:numPr>
          <w:ilvl w:val="0"/>
          <w:numId w:val="15"/>
        </w:numPr>
        <w:pBdr>
          <w:top w:val="nil"/>
          <w:left w:val="nil"/>
          <w:bottom w:val="nil"/>
          <w:right w:val="nil"/>
          <w:between w:val="nil"/>
        </w:pBdr>
        <w:ind w:left="562" w:hanging="562"/>
        <w:jc w:val="both"/>
        <w:rPr>
          <w:rFonts w:eastAsia="Arial" w:cs="Arial"/>
          <w:color w:val="000000"/>
          <w:szCs w:val="20"/>
        </w:rPr>
      </w:pPr>
      <w:r w:rsidRPr="004D0354">
        <w:rPr>
          <w:color w:val="000000"/>
        </w:rPr>
        <w:t xml:space="preserve">IPU, </w:t>
      </w:r>
      <w:hyperlink r:id="rId39">
        <w:r w:rsidRPr="004D0354">
          <w:rPr>
            <w:rStyle w:val="Hyperlink"/>
            <w:i/>
            <w:iCs/>
          </w:rPr>
          <w:t>Conference Report</w:t>
        </w:r>
        <w:r w:rsidR="00A12331" w:rsidRPr="004D0354">
          <w:rPr>
            <w:rStyle w:val="Hyperlink"/>
            <w:i/>
            <w:iCs/>
          </w:rPr>
          <w:t>:</w:t>
        </w:r>
        <w:r w:rsidRPr="004D0354">
          <w:rPr>
            <w:rStyle w:val="Hyperlink"/>
            <w:i/>
            <w:iCs/>
          </w:rPr>
          <w:t xml:space="preserve"> Stepping up youth participation in politics and parliaments:</w:t>
        </w:r>
      </w:hyperlink>
      <w:hyperlink r:id="rId40">
        <w:r w:rsidRPr="004D0354">
          <w:rPr>
            <w:rStyle w:val="Hyperlink"/>
            <w:i/>
            <w:iCs/>
          </w:rPr>
          <w:t xml:space="preserve"> From words to action</w:t>
        </w:r>
      </w:hyperlink>
      <w:r w:rsidRPr="004D0354">
        <w:rPr>
          <w:color w:val="005F9A"/>
        </w:rPr>
        <w:t xml:space="preserve"> (</w:t>
      </w:r>
      <w:r w:rsidRPr="004D0354">
        <w:rPr>
          <w:color w:val="000000"/>
        </w:rPr>
        <w:t>2021).</w:t>
      </w:r>
    </w:p>
    <w:p w14:paraId="45BBDCD7" w14:textId="1CE39D19" w:rsidR="0001091D" w:rsidRPr="004D0354" w:rsidRDefault="0001091D" w:rsidP="00DF7172">
      <w:pPr>
        <w:numPr>
          <w:ilvl w:val="0"/>
          <w:numId w:val="15"/>
        </w:numPr>
        <w:pBdr>
          <w:top w:val="nil"/>
          <w:left w:val="nil"/>
          <w:bottom w:val="nil"/>
          <w:right w:val="nil"/>
          <w:between w:val="nil"/>
        </w:pBdr>
        <w:ind w:left="562" w:hanging="562"/>
        <w:jc w:val="both"/>
        <w:rPr>
          <w:rFonts w:eastAsia="Arial" w:cs="Arial"/>
          <w:color w:val="000000"/>
          <w:szCs w:val="20"/>
        </w:rPr>
      </w:pPr>
      <w:r w:rsidRPr="004D0354">
        <w:rPr>
          <w:color w:val="000000"/>
        </w:rPr>
        <w:t>IPU,</w:t>
      </w:r>
      <w:hyperlink r:id="rId41">
        <w:r w:rsidRPr="004D0354">
          <w:rPr>
            <w:color w:val="000000"/>
          </w:rPr>
          <w:t xml:space="preserve"> </w:t>
        </w:r>
      </w:hyperlink>
      <w:hyperlink r:id="rId42">
        <w:r w:rsidRPr="004D0354">
          <w:rPr>
            <w:rStyle w:val="Hyperlink"/>
            <w:i/>
          </w:rPr>
          <w:t xml:space="preserve">Youth participation in national </w:t>
        </w:r>
        <w:r w:rsidRPr="004D0354">
          <w:rPr>
            <w:rStyle w:val="Hyperlink"/>
          </w:rPr>
          <w:t>parliaments</w:t>
        </w:r>
      </w:hyperlink>
      <w:r w:rsidRPr="004D0354">
        <w:rPr>
          <w:color w:val="000000"/>
        </w:rPr>
        <w:t xml:space="preserve"> (2021).</w:t>
      </w:r>
    </w:p>
    <w:p w14:paraId="449D993C" w14:textId="77777777" w:rsidR="005D05A6" w:rsidRPr="002B4148" w:rsidRDefault="005D05A6" w:rsidP="00DF7172">
      <w:pPr>
        <w:jc w:val="both"/>
        <w:rPr>
          <w:rFonts w:eastAsia="Arial" w:cs="Arial"/>
          <w:color w:val="000000"/>
          <w:szCs w:val="20"/>
        </w:rPr>
      </w:pPr>
    </w:p>
    <w:p w14:paraId="6D0C6391" w14:textId="77777777" w:rsidR="005D05A6" w:rsidRPr="002B4148" w:rsidRDefault="005D05A6" w:rsidP="00DF7172">
      <w:pPr>
        <w:jc w:val="both"/>
        <w:rPr>
          <w:rFonts w:eastAsia="Arial" w:cs="Arial"/>
          <w:color w:val="000000"/>
          <w:szCs w:val="20"/>
        </w:rPr>
      </w:pPr>
    </w:p>
    <w:p w14:paraId="0F54AA8A" w14:textId="77777777" w:rsidR="005D05A6" w:rsidRPr="002B4148" w:rsidRDefault="005D05A6" w:rsidP="00DF7172">
      <w:pPr>
        <w:jc w:val="both"/>
        <w:rPr>
          <w:rFonts w:eastAsia="Arial" w:cs="Arial"/>
          <w:color w:val="000000"/>
          <w:szCs w:val="20"/>
        </w:rPr>
      </w:pPr>
    </w:p>
    <w:p w14:paraId="3E1F2329" w14:textId="77777777" w:rsidR="005D05A6" w:rsidRPr="002B4148" w:rsidRDefault="005D05A6" w:rsidP="00DF7172">
      <w:pPr>
        <w:jc w:val="both"/>
        <w:rPr>
          <w:rFonts w:eastAsia="Arial" w:cs="Arial"/>
          <w:color w:val="000000"/>
          <w:szCs w:val="20"/>
        </w:rPr>
      </w:pPr>
    </w:p>
    <w:sectPr w:rsidR="005D05A6" w:rsidRPr="002B4148" w:rsidSect="00DF7172">
      <w:headerReference w:type="default" r:id="rId43"/>
      <w:footerReference w:type="default" r:id="rId44"/>
      <w:headerReference w:type="first" r:id="rId45"/>
      <w:footerReference w:type="first" r:id="rId46"/>
      <w:pgSz w:w="11900" w:h="16840" w:code="9"/>
      <w:pgMar w:top="1411" w:right="1411" w:bottom="1411" w:left="1699"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89A4" w14:textId="77777777" w:rsidR="007E4EC9" w:rsidRDefault="007E4EC9">
      <w:r>
        <w:separator/>
      </w:r>
    </w:p>
  </w:endnote>
  <w:endnote w:type="continuationSeparator" w:id="0">
    <w:p w14:paraId="3E390AB2" w14:textId="77777777" w:rsidR="007E4EC9" w:rsidRDefault="007E4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378"/>
      <w:docPartObj>
        <w:docPartGallery w:val="Page Numbers (Bottom of Page)"/>
        <w:docPartUnique/>
      </w:docPartObj>
    </w:sdtPr>
    <w:sdtEndPr/>
    <w:sdtContent>
      <w:p w14:paraId="47BFE5AF" w14:textId="20301B74" w:rsidR="00DF7172" w:rsidRDefault="00DF7172">
        <w:pPr>
          <w:pStyle w:val="Footer"/>
          <w:jc w:val="right"/>
        </w:pPr>
        <w:r>
          <w:fldChar w:fldCharType="begin"/>
        </w:r>
        <w:r>
          <w:instrText>PAGE   \* MERGEFORMAT</w:instrText>
        </w:r>
        <w:r>
          <w:fldChar w:fldCharType="separate"/>
        </w:r>
        <w:r w:rsidRPr="00DF7172">
          <w:rPr>
            <w:noProof/>
            <w:lang w:val="es-ES"/>
          </w:rPr>
          <w:t>17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C76C" w14:textId="77777777" w:rsidR="00DF7172" w:rsidRPr="00DF7172" w:rsidRDefault="00DF7172" w:rsidP="00DF7172">
    <w:pPr>
      <w:pStyle w:val="NormalWeb"/>
      <w:rPr>
        <w:rFonts w:ascii="Arial" w:hAnsi="Arial" w:cs="Arial"/>
        <w:szCs w:val="20"/>
        <w:lang w:val="es-US"/>
      </w:rPr>
    </w:pPr>
    <w:r w:rsidRPr="00DF7172">
      <w:rPr>
        <w:rFonts w:ascii="Arial" w:hAnsi="Arial"/>
        <w:szCs w:val="20"/>
        <w:lang w:val="es-US"/>
      </w:rPr>
      <w:t xml:space="preserve">Los </w:t>
    </w:r>
    <w:bookmarkStart w:id="9" w:name="_Hlk148533550"/>
    <w:r w:rsidRPr="00DF7172">
      <w:rPr>
        <w:rFonts w:ascii="Arial" w:hAnsi="Arial"/>
        <w:szCs w:val="20"/>
        <w:lang w:val="es-US"/>
      </w:rPr>
      <w:t xml:space="preserve">Indicadores para parlamentos democráticos </w:t>
    </w:r>
    <w:bookmarkEnd w:id="9"/>
    <w:r w:rsidRPr="00DF7172">
      <w:rPr>
        <w:rFonts w:ascii="Arial" w:hAnsi="Arial"/>
        <w:szCs w:val="20"/>
        <w:lang w:val="es-US"/>
      </w:rPr>
      <w:t xml:space="preserve">son una iniciativa de múltiples partes coordinada por la Unión Interparlamentaria (UIP), en colaboración con la Asociación Parlamentaria del Commonwealth (CPA), Directorio Legislativo, INTER PARES/IDEA Internacional, el Instituto Nacional Demócrata (NDI), el Programa de las Naciones Unidas para el Desarrollo (PNUD), ONU Mujeres y la Fundación Westminster para la Democracia (WFD). </w:t>
    </w:r>
  </w:p>
  <w:p w14:paraId="488A471C" w14:textId="77777777" w:rsidR="00DF7172" w:rsidRPr="00DF7172" w:rsidRDefault="00DF7172" w:rsidP="00DF7172">
    <w:pPr>
      <w:pStyle w:val="NormalWeb"/>
      <w:rPr>
        <w:rFonts w:ascii="Arial" w:hAnsi="Arial" w:cs="Arial"/>
        <w:szCs w:val="20"/>
        <w:lang w:val="es-US"/>
      </w:rPr>
    </w:pPr>
    <w:r w:rsidRPr="00DF7172">
      <w:rPr>
        <w:rFonts w:ascii="Arial" w:hAnsi="Arial"/>
        <w:szCs w:val="20"/>
        <w:lang w:val="es-US"/>
      </w:rPr>
      <w:t xml:space="preserve">Los indicadores están publicados en </w:t>
    </w:r>
    <w:hyperlink r:id="rId1" w:history="1">
      <w:r w:rsidRPr="00DF7172">
        <w:rPr>
          <w:rStyle w:val="Hyperlink"/>
          <w:szCs w:val="20"/>
          <w:lang w:val="es-US"/>
        </w:rPr>
        <w:t>www.parliamentaryindicators.org</w:t>
      </w:r>
    </w:hyperlink>
    <w:r w:rsidRPr="00DF7172">
      <w:rPr>
        <w:rFonts w:ascii="Arial" w:hAnsi="Arial"/>
        <w:szCs w:val="20"/>
        <w:lang w:val="es-US"/>
      </w:rPr>
      <w:t xml:space="preserve"> con una licencia </w:t>
    </w:r>
    <w:hyperlink r:id="rId2" w:history="1">
      <w:r w:rsidRPr="00DF7172">
        <w:rPr>
          <w:rStyle w:val="Hyperlink"/>
          <w:szCs w:val="20"/>
          <w:lang w:val="es-US"/>
        </w:rPr>
        <w:t>CC BY-NC-SA 4.0</w:t>
      </w:r>
    </w:hyperlink>
    <w:r w:rsidRPr="00DF7172">
      <w:rPr>
        <w:rFonts w:ascii="Arial" w:hAnsi="Arial"/>
        <w:szCs w:val="20"/>
        <w:lang w:val="es-US"/>
      </w:rPr>
      <w:t xml:space="preserve"> de Creative Commons.</w:t>
    </w:r>
  </w:p>
  <w:p w14:paraId="16B39FF3" w14:textId="77777777" w:rsidR="00DF7172" w:rsidRPr="00DF7172" w:rsidRDefault="00DF7172">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424C" w14:textId="77777777" w:rsidR="007E4EC9" w:rsidRDefault="007E4EC9">
      <w:r>
        <w:separator/>
      </w:r>
    </w:p>
  </w:footnote>
  <w:footnote w:type="continuationSeparator" w:id="0">
    <w:p w14:paraId="76D4EC75" w14:textId="77777777" w:rsidR="007E4EC9" w:rsidRDefault="007E4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07B4" w14:textId="77777777" w:rsidR="00DF7172" w:rsidRPr="0053177C" w:rsidRDefault="00DF7172" w:rsidP="00DF7172">
    <w:pPr>
      <w:pStyle w:val="Header"/>
      <w:rPr>
        <w:b/>
        <w:bCs/>
        <w:lang w:val="fr-CH"/>
      </w:rPr>
    </w:pPr>
    <w:bookmarkStart w:id="7" w:name="_Hlk146872618"/>
    <w:r w:rsidRPr="0053177C">
      <w:rPr>
        <w:b/>
        <w:bCs/>
        <w:szCs w:val="20"/>
        <w:lang w:val="fr-CH"/>
      </w:rPr>
      <w:t>Indicadores para parlamentos democráticos</w:t>
    </w:r>
    <w:r w:rsidRPr="0053177C">
      <w:rPr>
        <w:b/>
        <w:bCs/>
        <w:szCs w:val="20"/>
        <w:lang w:val="fr-CH"/>
      </w:rPr>
      <w:tab/>
    </w:r>
    <w:r w:rsidRPr="0053177C">
      <w:rPr>
        <w:b/>
        <w:bCs/>
        <w:szCs w:val="20"/>
        <w:lang w:val="fr-CH"/>
      </w:rPr>
      <w:tab/>
      <w:t>www.parliamentaryindicators.org</w:t>
    </w:r>
    <w:bookmarkEnd w:id="7"/>
  </w:p>
  <w:p w14:paraId="5B5793F3" w14:textId="7B55F117" w:rsidR="00B2520B" w:rsidRPr="00D5303D" w:rsidRDefault="00B2520B">
    <w:pPr>
      <w:pBdr>
        <w:top w:val="nil"/>
        <w:left w:val="nil"/>
        <w:bottom w:val="nil"/>
        <w:right w:val="nil"/>
        <w:between w:val="nil"/>
      </w:pBdr>
      <w:tabs>
        <w:tab w:val="center" w:pos="4680"/>
        <w:tab w:val="right" w:pos="9360"/>
      </w:tabs>
      <w:rPr>
        <w:color w:val="00AABE"/>
      </w:rPr>
    </w:pPr>
    <w:r>
      <w:rPr>
        <w:color w:val="00AABE"/>
        <w:sz w:val="22"/>
      </w:rPr>
      <w:t>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E5BF" w14:textId="77777777" w:rsidR="00DF7172" w:rsidRDefault="00DF7172" w:rsidP="00DF7172">
    <w:pPr>
      <w:pStyle w:val="Header"/>
      <w:tabs>
        <w:tab w:val="left" w:pos="4560"/>
        <w:tab w:val="left" w:pos="5241"/>
      </w:tabs>
    </w:pPr>
    <w:bookmarkStart w:id="8" w:name="_Hlk148533739"/>
    <w:r>
      <w:rPr>
        <w:noProof/>
        <w:lang w:val="es-US" w:eastAsia="es-US"/>
      </w:rPr>
      <w:drawing>
        <wp:inline distT="0" distB="0" distL="0" distR="0" wp14:anchorId="110DB851" wp14:editId="5664AC6E">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8"/>
  <w:p w14:paraId="66ADB066" w14:textId="3C11E5F8" w:rsidR="00B2520B" w:rsidRPr="000E316B" w:rsidRDefault="00B2520B">
    <w:pPr>
      <w:pBdr>
        <w:top w:val="nil"/>
        <w:left w:val="nil"/>
        <w:bottom w:val="nil"/>
        <w:right w:val="nil"/>
        <w:between w:val="nil"/>
      </w:pBdr>
      <w:tabs>
        <w:tab w:val="center" w:pos="4680"/>
        <w:tab w:val="right" w:pos="9360"/>
      </w:tabs>
      <w:rPr>
        <w:rFonts w:cs="Arial"/>
        <w:color w:val="00AABE"/>
        <w:sz w:val="22"/>
        <w:szCs w:val="22"/>
      </w:rPr>
    </w:pPr>
    <w:r>
      <w:rPr>
        <w:color w:val="00AABE"/>
        <w:sz w:val="22"/>
      </w:rPr>
      <w:t>_______________________________________________________________________</w:t>
    </w:r>
  </w:p>
  <w:p w14:paraId="30552DDF" w14:textId="77777777" w:rsidR="00B2520B" w:rsidRDefault="00B2520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C4E"/>
    <w:multiLevelType w:val="multilevel"/>
    <w:tmpl w:val="ACA82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AE3E94"/>
    <w:multiLevelType w:val="hybridMultilevel"/>
    <w:tmpl w:val="D8C211E0"/>
    <w:lvl w:ilvl="0" w:tplc="30269650">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3AE26D1"/>
    <w:multiLevelType w:val="multilevel"/>
    <w:tmpl w:val="911C7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527CBC"/>
    <w:multiLevelType w:val="multilevel"/>
    <w:tmpl w:val="C27CA97E"/>
    <w:lvl w:ilvl="0">
      <w:start w:val="1"/>
      <w:numFmt w:val="bullet"/>
      <w:lvlText w:val="●"/>
      <w:lvlJc w:val="left"/>
      <w:pPr>
        <w:tabs>
          <w:tab w:val="num" w:pos="562"/>
        </w:tabs>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1D922803"/>
    <w:multiLevelType w:val="hybridMultilevel"/>
    <w:tmpl w:val="9C0278E0"/>
    <w:lvl w:ilvl="0" w:tplc="8C38A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44664"/>
    <w:multiLevelType w:val="multilevel"/>
    <w:tmpl w:val="68944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FA3F99"/>
    <w:multiLevelType w:val="multilevel"/>
    <w:tmpl w:val="18B66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490E42"/>
    <w:multiLevelType w:val="multilevel"/>
    <w:tmpl w:val="5E3A6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AE5C16"/>
    <w:multiLevelType w:val="multilevel"/>
    <w:tmpl w:val="2146F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6A40D6"/>
    <w:multiLevelType w:val="multilevel"/>
    <w:tmpl w:val="3ECEE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88D27AC"/>
    <w:multiLevelType w:val="multilevel"/>
    <w:tmpl w:val="60146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36774E"/>
    <w:multiLevelType w:val="multilevel"/>
    <w:tmpl w:val="58900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E50DEB"/>
    <w:multiLevelType w:val="multilevel"/>
    <w:tmpl w:val="629C9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26C4284"/>
    <w:multiLevelType w:val="hybridMultilevel"/>
    <w:tmpl w:val="B59214C4"/>
    <w:lvl w:ilvl="0" w:tplc="23747362">
      <w:start w:val="1"/>
      <w:numFmt w:val="bullet"/>
      <w:pStyle w:val="ListParagraph"/>
      <w:lvlText w:val=""/>
      <w:lvlJc w:val="left"/>
      <w:pPr>
        <w:ind w:left="720" w:hanging="360"/>
      </w:pPr>
      <w:rPr>
        <w:rFonts w:ascii="Symbol" w:hAnsi="Symbo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3006051"/>
    <w:multiLevelType w:val="multilevel"/>
    <w:tmpl w:val="96A4A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B07BA0"/>
    <w:multiLevelType w:val="multilevel"/>
    <w:tmpl w:val="1CC64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F71BB4"/>
    <w:multiLevelType w:val="multilevel"/>
    <w:tmpl w:val="E3E45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90142B1"/>
    <w:multiLevelType w:val="multilevel"/>
    <w:tmpl w:val="76F63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CAA2D15"/>
    <w:multiLevelType w:val="multilevel"/>
    <w:tmpl w:val="8B9E9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40262D"/>
    <w:multiLevelType w:val="multilevel"/>
    <w:tmpl w:val="83640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A51213"/>
    <w:multiLevelType w:val="hybridMultilevel"/>
    <w:tmpl w:val="534035A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255619"/>
    <w:multiLevelType w:val="multilevel"/>
    <w:tmpl w:val="8DFCA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347582"/>
    <w:multiLevelType w:val="multilevel"/>
    <w:tmpl w:val="9D7AF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695E2A"/>
    <w:multiLevelType w:val="multilevel"/>
    <w:tmpl w:val="97DA0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A44AD8"/>
    <w:multiLevelType w:val="multilevel"/>
    <w:tmpl w:val="28C67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9A46ED"/>
    <w:multiLevelType w:val="multilevel"/>
    <w:tmpl w:val="6D500826"/>
    <w:lvl w:ilvl="0">
      <w:start w:val="1"/>
      <w:numFmt w:val="bullet"/>
      <w:lvlText w:val="●"/>
      <w:lvlJc w:val="left"/>
      <w:pPr>
        <w:tabs>
          <w:tab w:val="num" w:pos="562"/>
        </w:tabs>
        <w:ind w:left="562" w:hanging="20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28" w15:restartNumberingAfterBreak="0">
    <w:nsid w:val="775C468D"/>
    <w:multiLevelType w:val="hybridMultilevel"/>
    <w:tmpl w:val="55B44FBC"/>
    <w:lvl w:ilvl="0" w:tplc="49A6C2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54BFB"/>
    <w:multiLevelType w:val="multilevel"/>
    <w:tmpl w:val="556E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8720502"/>
    <w:multiLevelType w:val="multilevel"/>
    <w:tmpl w:val="9F60CF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D505BF"/>
    <w:multiLevelType w:val="multilevel"/>
    <w:tmpl w:val="41222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B734041"/>
    <w:multiLevelType w:val="multilevel"/>
    <w:tmpl w:val="6E52B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C1A3528"/>
    <w:multiLevelType w:val="hybridMultilevel"/>
    <w:tmpl w:val="1B1C45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062D49"/>
    <w:multiLevelType w:val="multilevel"/>
    <w:tmpl w:val="C0D43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151170"/>
    <w:multiLevelType w:val="multilevel"/>
    <w:tmpl w:val="0B4CC900"/>
    <w:lvl w:ilvl="0">
      <w:start w:val="1"/>
      <w:numFmt w:val="bullet"/>
      <w:lvlText w:val="●"/>
      <w:lvlJc w:val="left"/>
      <w:pPr>
        <w:ind w:left="562" w:hanging="562"/>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16cid:durableId="666059409">
    <w:abstractNumId w:val="6"/>
  </w:num>
  <w:num w:numId="2" w16cid:durableId="765081714">
    <w:abstractNumId w:val="31"/>
  </w:num>
  <w:num w:numId="3" w16cid:durableId="1989017895">
    <w:abstractNumId w:val="14"/>
  </w:num>
  <w:num w:numId="4" w16cid:durableId="128938408">
    <w:abstractNumId w:val="17"/>
  </w:num>
  <w:num w:numId="5" w16cid:durableId="1964847708">
    <w:abstractNumId w:val="20"/>
  </w:num>
  <w:num w:numId="6" w16cid:durableId="2049721248">
    <w:abstractNumId w:val="25"/>
  </w:num>
  <w:num w:numId="7" w16cid:durableId="1007290938">
    <w:abstractNumId w:val="23"/>
  </w:num>
  <w:num w:numId="8" w16cid:durableId="1984653515">
    <w:abstractNumId w:val="16"/>
  </w:num>
  <w:num w:numId="9" w16cid:durableId="1520729158">
    <w:abstractNumId w:val="7"/>
  </w:num>
  <w:num w:numId="10" w16cid:durableId="194931242">
    <w:abstractNumId w:val="29"/>
  </w:num>
  <w:num w:numId="11" w16cid:durableId="619920615">
    <w:abstractNumId w:val="11"/>
  </w:num>
  <w:num w:numId="12" w16cid:durableId="406194681">
    <w:abstractNumId w:val="9"/>
  </w:num>
  <w:num w:numId="13" w16cid:durableId="577592967">
    <w:abstractNumId w:val="34"/>
  </w:num>
  <w:num w:numId="14" w16cid:durableId="826167962">
    <w:abstractNumId w:val="2"/>
  </w:num>
  <w:num w:numId="15" w16cid:durableId="1100569716">
    <w:abstractNumId w:val="32"/>
  </w:num>
  <w:num w:numId="16" w16cid:durableId="2142187407">
    <w:abstractNumId w:val="0"/>
  </w:num>
  <w:num w:numId="17" w16cid:durableId="814763813">
    <w:abstractNumId w:val="10"/>
  </w:num>
  <w:num w:numId="18" w16cid:durableId="1666081505">
    <w:abstractNumId w:val="21"/>
  </w:num>
  <w:num w:numId="19" w16cid:durableId="1692951678">
    <w:abstractNumId w:val="35"/>
  </w:num>
  <w:num w:numId="20" w16cid:durableId="4020297">
    <w:abstractNumId w:val="27"/>
  </w:num>
  <w:num w:numId="21" w16cid:durableId="144510910">
    <w:abstractNumId w:val="33"/>
  </w:num>
  <w:num w:numId="22" w16cid:durableId="1244072071">
    <w:abstractNumId w:val="22"/>
  </w:num>
  <w:num w:numId="23" w16cid:durableId="2061855658">
    <w:abstractNumId w:val="3"/>
  </w:num>
  <w:num w:numId="24" w16cid:durableId="2083408930">
    <w:abstractNumId w:val="8"/>
  </w:num>
  <w:num w:numId="25" w16cid:durableId="267273275">
    <w:abstractNumId w:val="19"/>
  </w:num>
  <w:num w:numId="26" w16cid:durableId="928150088">
    <w:abstractNumId w:val="13"/>
  </w:num>
  <w:num w:numId="27" w16cid:durableId="1238248982">
    <w:abstractNumId w:val="18"/>
  </w:num>
  <w:num w:numId="28" w16cid:durableId="1154028058">
    <w:abstractNumId w:val="12"/>
  </w:num>
  <w:num w:numId="29" w16cid:durableId="137891077">
    <w:abstractNumId w:val="26"/>
  </w:num>
  <w:num w:numId="30" w16cid:durableId="1074740087">
    <w:abstractNumId w:val="30"/>
  </w:num>
  <w:num w:numId="31" w16cid:durableId="1667202559">
    <w:abstractNumId w:val="24"/>
  </w:num>
  <w:num w:numId="32" w16cid:durableId="1814519062">
    <w:abstractNumId w:val="5"/>
  </w:num>
  <w:num w:numId="33" w16cid:durableId="1884706546">
    <w:abstractNumId w:val="1"/>
  </w:num>
  <w:num w:numId="34" w16cid:durableId="2107537629">
    <w:abstractNumId w:val="1"/>
  </w:num>
  <w:num w:numId="35" w16cid:durableId="1023170212">
    <w:abstractNumId w:val="35"/>
  </w:num>
  <w:num w:numId="36" w16cid:durableId="1966619578">
    <w:abstractNumId w:val="27"/>
  </w:num>
  <w:num w:numId="37" w16cid:durableId="1565337904">
    <w:abstractNumId w:val="4"/>
  </w:num>
  <w:num w:numId="38" w16cid:durableId="434718825">
    <w:abstractNumId w:val="28"/>
  </w:num>
  <w:num w:numId="39" w16cid:durableId="5378141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B5"/>
    <w:rsid w:val="0000609C"/>
    <w:rsid w:val="0001091D"/>
    <w:rsid w:val="000124B9"/>
    <w:rsid w:val="00027C10"/>
    <w:rsid w:val="00027C75"/>
    <w:rsid w:val="00036344"/>
    <w:rsid w:val="000450D0"/>
    <w:rsid w:val="00053024"/>
    <w:rsid w:val="00072CF7"/>
    <w:rsid w:val="00083B1F"/>
    <w:rsid w:val="000927A6"/>
    <w:rsid w:val="00093E24"/>
    <w:rsid w:val="000964D9"/>
    <w:rsid w:val="000A4BAE"/>
    <w:rsid w:val="000A7AB9"/>
    <w:rsid w:val="000B11ED"/>
    <w:rsid w:val="000C1635"/>
    <w:rsid w:val="000C7766"/>
    <w:rsid w:val="000E316B"/>
    <w:rsid w:val="000F190A"/>
    <w:rsid w:val="000F1C24"/>
    <w:rsid w:val="001030B6"/>
    <w:rsid w:val="00112924"/>
    <w:rsid w:val="00115D90"/>
    <w:rsid w:val="0012380A"/>
    <w:rsid w:val="00123A16"/>
    <w:rsid w:val="00126537"/>
    <w:rsid w:val="001328E5"/>
    <w:rsid w:val="00141E4F"/>
    <w:rsid w:val="001460AF"/>
    <w:rsid w:val="001479C2"/>
    <w:rsid w:val="00160310"/>
    <w:rsid w:val="001620AD"/>
    <w:rsid w:val="00180119"/>
    <w:rsid w:val="00182862"/>
    <w:rsid w:val="00185D98"/>
    <w:rsid w:val="001B14AC"/>
    <w:rsid w:val="001B7E82"/>
    <w:rsid w:val="001B7ECA"/>
    <w:rsid w:val="001C3787"/>
    <w:rsid w:val="001D15BF"/>
    <w:rsid w:val="001E138E"/>
    <w:rsid w:val="00203054"/>
    <w:rsid w:val="00204843"/>
    <w:rsid w:val="0022090F"/>
    <w:rsid w:val="002255AE"/>
    <w:rsid w:val="00227C9B"/>
    <w:rsid w:val="00243670"/>
    <w:rsid w:val="00246221"/>
    <w:rsid w:val="00246263"/>
    <w:rsid w:val="00262D39"/>
    <w:rsid w:val="002708C6"/>
    <w:rsid w:val="00280B5B"/>
    <w:rsid w:val="00281A68"/>
    <w:rsid w:val="002851B5"/>
    <w:rsid w:val="00294B27"/>
    <w:rsid w:val="00295648"/>
    <w:rsid w:val="002B4148"/>
    <w:rsid w:val="002C46B2"/>
    <w:rsid w:val="002D4DF4"/>
    <w:rsid w:val="00304586"/>
    <w:rsid w:val="00306087"/>
    <w:rsid w:val="0030687E"/>
    <w:rsid w:val="00307DD4"/>
    <w:rsid w:val="00313BC0"/>
    <w:rsid w:val="0032407C"/>
    <w:rsid w:val="003260BF"/>
    <w:rsid w:val="00326D5E"/>
    <w:rsid w:val="00334DF7"/>
    <w:rsid w:val="0034519C"/>
    <w:rsid w:val="00357C40"/>
    <w:rsid w:val="003641C2"/>
    <w:rsid w:val="00370A5A"/>
    <w:rsid w:val="003920F0"/>
    <w:rsid w:val="003A4582"/>
    <w:rsid w:val="003A6163"/>
    <w:rsid w:val="003B2BEE"/>
    <w:rsid w:val="003C1353"/>
    <w:rsid w:val="003C2083"/>
    <w:rsid w:val="003C52CB"/>
    <w:rsid w:val="003C6074"/>
    <w:rsid w:val="003E4A4D"/>
    <w:rsid w:val="003F0E66"/>
    <w:rsid w:val="003F1B8F"/>
    <w:rsid w:val="003F33A4"/>
    <w:rsid w:val="003F42D4"/>
    <w:rsid w:val="003F5468"/>
    <w:rsid w:val="00403330"/>
    <w:rsid w:val="004124ED"/>
    <w:rsid w:val="00417FFC"/>
    <w:rsid w:val="00431667"/>
    <w:rsid w:val="00432785"/>
    <w:rsid w:val="0043584A"/>
    <w:rsid w:val="00447DF0"/>
    <w:rsid w:val="00454926"/>
    <w:rsid w:val="00460F3D"/>
    <w:rsid w:val="004704AD"/>
    <w:rsid w:val="00473210"/>
    <w:rsid w:val="004768D4"/>
    <w:rsid w:val="004771F3"/>
    <w:rsid w:val="00497D7C"/>
    <w:rsid w:val="004A2639"/>
    <w:rsid w:val="004A340F"/>
    <w:rsid w:val="004B49D5"/>
    <w:rsid w:val="004C336F"/>
    <w:rsid w:val="004D0354"/>
    <w:rsid w:val="004D1396"/>
    <w:rsid w:val="004E124B"/>
    <w:rsid w:val="004F3F3E"/>
    <w:rsid w:val="004F592D"/>
    <w:rsid w:val="005118DE"/>
    <w:rsid w:val="00520BA3"/>
    <w:rsid w:val="0053551F"/>
    <w:rsid w:val="00535AF4"/>
    <w:rsid w:val="00544425"/>
    <w:rsid w:val="00545EE6"/>
    <w:rsid w:val="0055364C"/>
    <w:rsid w:val="0056336D"/>
    <w:rsid w:val="005677F5"/>
    <w:rsid w:val="00575CC0"/>
    <w:rsid w:val="00580D1B"/>
    <w:rsid w:val="005968D1"/>
    <w:rsid w:val="005B3120"/>
    <w:rsid w:val="005B5F1F"/>
    <w:rsid w:val="005C146C"/>
    <w:rsid w:val="005C6444"/>
    <w:rsid w:val="005D05A6"/>
    <w:rsid w:val="005D0B76"/>
    <w:rsid w:val="005F0D28"/>
    <w:rsid w:val="005F5FFF"/>
    <w:rsid w:val="00601534"/>
    <w:rsid w:val="00611D3D"/>
    <w:rsid w:val="00627231"/>
    <w:rsid w:val="006339FA"/>
    <w:rsid w:val="00637E06"/>
    <w:rsid w:val="0064430C"/>
    <w:rsid w:val="00647DE3"/>
    <w:rsid w:val="00650EB3"/>
    <w:rsid w:val="00654A8C"/>
    <w:rsid w:val="00656F7F"/>
    <w:rsid w:val="00665107"/>
    <w:rsid w:val="006678C3"/>
    <w:rsid w:val="00676591"/>
    <w:rsid w:val="00677367"/>
    <w:rsid w:val="00683BA1"/>
    <w:rsid w:val="00686851"/>
    <w:rsid w:val="00687517"/>
    <w:rsid w:val="0069221A"/>
    <w:rsid w:val="00695ACF"/>
    <w:rsid w:val="006A5F47"/>
    <w:rsid w:val="006B27FF"/>
    <w:rsid w:val="006B593C"/>
    <w:rsid w:val="006C0DE3"/>
    <w:rsid w:val="006C387E"/>
    <w:rsid w:val="006C3E93"/>
    <w:rsid w:val="006D1DF4"/>
    <w:rsid w:val="006D432C"/>
    <w:rsid w:val="006D6F59"/>
    <w:rsid w:val="006F7D4D"/>
    <w:rsid w:val="00702DDC"/>
    <w:rsid w:val="0070651C"/>
    <w:rsid w:val="007145E7"/>
    <w:rsid w:val="00757F49"/>
    <w:rsid w:val="00773480"/>
    <w:rsid w:val="007853B3"/>
    <w:rsid w:val="00791C1C"/>
    <w:rsid w:val="00792CBA"/>
    <w:rsid w:val="007946DA"/>
    <w:rsid w:val="007C1830"/>
    <w:rsid w:val="007D26BB"/>
    <w:rsid w:val="007D501C"/>
    <w:rsid w:val="007E4EC9"/>
    <w:rsid w:val="007E5D1E"/>
    <w:rsid w:val="007E649F"/>
    <w:rsid w:val="007E7F51"/>
    <w:rsid w:val="007F629B"/>
    <w:rsid w:val="00803514"/>
    <w:rsid w:val="00810B64"/>
    <w:rsid w:val="00811D7F"/>
    <w:rsid w:val="00813F52"/>
    <w:rsid w:val="008259E2"/>
    <w:rsid w:val="0082775D"/>
    <w:rsid w:val="0083248B"/>
    <w:rsid w:val="00834326"/>
    <w:rsid w:val="0084016C"/>
    <w:rsid w:val="008422F8"/>
    <w:rsid w:val="00851250"/>
    <w:rsid w:val="00853AD5"/>
    <w:rsid w:val="008631D8"/>
    <w:rsid w:val="008820D9"/>
    <w:rsid w:val="00892E65"/>
    <w:rsid w:val="00896570"/>
    <w:rsid w:val="00896968"/>
    <w:rsid w:val="008A2016"/>
    <w:rsid w:val="008B47FE"/>
    <w:rsid w:val="008B5588"/>
    <w:rsid w:val="008C0A20"/>
    <w:rsid w:val="008D2B69"/>
    <w:rsid w:val="008E0B91"/>
    <w:rsid w:val="008F7C06"/>
    <w:rsid w:val="0090577D"/>
    <w:rsid w:val="00913192"/>
    <w:rsid w:val="00915610"/>
    <w:rsid w:val="00917C58"/>
    <w:rsid w:val="00922028"/>
    <w:rsid w:val="00922583"/>
    <w:rsid w:val="00924633"/>
    <w:rsid w:val="00937A6A"/>
    <w:rsid w:val="00946B3F"/>
    <w:rsid w:val="0095039A"/>
    <w:rsid w:val="00984A0B"/>
    <w:rsid w:val="009866A7"/>
    <w:rsid w:val="009932DD"/>
    <w:rsid w:val="009A142C"/>
    <w:rsid w:val="009A1DE7"/>
    <w:rsid w:val="009B15A2"/>
    <w:rsid w:val="009B5F4D"/>
    <w:rsid w:val="009C3128"/>
    <w:rsid w:val="009D04A0"/>
    <w:rsid w:val="009E215B"/>
    <w:rsid w:val="009E520A"/>
    <w:rsid w:val="009F1708"/>
    <w:rsid w:val="009F2D1F"/>
    <w:rsid w:val="009F5771"/>
    <w:rsid w:val="009F5C40"/>
    <w:rsid w:val="00A01386"/>
    <w:rsid w:val="00A057C4"/>
    <w:rsid w:val="00A1060F"/>
    <w:rsid w:val="00A11244"/>
    <w:rsid w:val="00A12331"/>
    <w:rsid w:val="00A17D77"/>
    <w:rsid w:val="00A24BE5"/>
    <w:rsid w:val="00A62C3C"/>
    <w:rsid w:val="00A66AA9"/>
    <w:rsid w:val="00A7368E"/>
    <w:rsid w:val="00A82660"/>
    <w:rsid w:val="00A84106"/>
    <w:rsid w:val="00A96C09"/>
    <w:rsid w:val="00AC09D9"/>
    <w:rsid w:val="00AC6562"/>
    <w:rsid w:val="00AD2F3E"/>
    <w:rsid w:val="00AE6CB8"/>
    <w:rsid w:val="00AE78AF"/>
    <w:rsid w:val="00AF4329"/>
    <w:rsid w:val="00B10E09"/>
    <w:rsid w:val="00B1146A"/>
    <w:rsid w:val="00B116EB"/>
    <w:rsid w:val="00B1448D"/>
    <w:rsid w:val="00B2133D"/>
    <w:rsid w:val="00B21850"/>
    <w:rsid w:val="00B2520B"/>
    <w:rsid w:val="00B45878"/>
    <w:rsid w:val="00B53540"/>
    <w:rsid w:val="00B70655"/>
    <w:rsid w:val="00B80189"/>
    <w:rsid w:val="00B83605"/>
    <w:rsid w:val="00BA3956"/>
    <w:rsid w:val="00BC0DB0"/>
    <w:rsid w:val="00BC50E8"/>
    <w:rsid w:val="00BD245E"/>
    <w:rsid w:val="00BE309A"/>
    <w:rsid w:val="00C06467"/>
    <w:rsid w:val="00C1054C"/>
    <w:rsid w:val="00C12B4B"/>
    <w:rsid w:val="00C33155"/>
    <w:rsid w:val="00C3750E"/>
    <w:rsid w:val="00C426B8"/>
    <w:rsid w:val="00C44601"/>
    <w:rsid w:val="00C62278"/>
    <w:rsid w:val="00C63635"/>
    <w:rsid w:val="00C6700B"/>
    <w:rsid w:val="00C72DEA"/>
    <w:rsid w:val="00C80237"/>
    <w:rsid w:val="00C81042"/>
    <w:rsid w:val="00C842B5"/>
    <w:rsid w:val="00C923F8"/>
    <w:rsid w:val="00CA1253"/>
    <w:rsid w:val="00CB74EE"/>
    <w:rsid w:val="00CC0749"/>
    <w:rsid w:val="00CC1CDF"/>
    <w:rsid w:val="00CC49AF"/>
    <w:rsid w:val="00CD3164"/>
    <w:rsid w:val="00CD6683"/>
    <w:rsid w:val="00CE43A1"/>
    <w:rsid w:val="00CE4737"/>
    <w:rsid w:val="00CE7E17"/>
    <w:rsid w:val="00CF63C7"/>
    <w:rsid w:val="00D0711D"/>
    <w:rsid w:val="00D10D0D"/>
    <w:rsid w:val="00D11F15"/>
    <w:rsid w:val="00D226BB"/>
    <w:rsid w:val="00D257BD"/>
    <w:rsid w:val="00D32CA6"/>
    <w:rsid w:val="00D35BDA"/>
    <w:rsid w:val="00D42F95"/>
    <w:rsid w:val="00D4638D"/>
    <w:rsid w:val="00D513A2"/>
    <w:rsid w:val="00D527EE"/>
    <w:rsid w:val="00D5303D"/>
    <w:rsid w:val="00D556A3"/>
    <w:rsid w:val="00D76E34"/>
    <w:rsid w:val="00D83726"/>
    <w:rsid w:val="00D90297"/>
    <w:rsid w:val="00DA0504"/>
    <w:rsid w:val="00DD1DBC"/>
    <w:rsid w:val="00DD5DC8"/>
    <w:rsid w:val="00DE03BD"/>
    <w:rsid w:val="00DF2090"/>
    <w:rsid w:val="00DF4F0E"/>
    <w:rsid w:val="00DF7172"/>
    <w:rsid w:val="00E019CB"/>
    <w:rsid w:val="00E1417B"/>
    <w:rsid w:val="00E158AE"/>
    <w:rsid w:val="00E32F55"/>
    <w:rsid w:val="00E36AA1"/>
    <w:rsid w:val="00E36EC1"/>
    <w:rsid w:val="00E37F04"/>
    <w:rsid w:val="00E400E7"/>
    <w:rsid w:val="00E4687D"/>
    <w:rsid w:val="00E50C49"/>
    <w:rsid w:val="00E52778"/>
    <w:rsid w:val="00E5692B"/>
    <w:rsid w:val="00E6465E"/>
    <w:rsid w:val="00E71787"/>
    <w:rsid w:val="00E810E0"/>
    <w:rsid w:val="00E84402"/>
    <w:rsid w:val="00E87A61"/>
    <w:rsid w:val="00EA364C"/>
    <w:rsid w:val="00EA431B"/>
    <w:rsid w:val="00EA4E25"/>
    <w:rsid w:val="00EA5DBE"/>
    <w:rsid w:val="00EB32EC"/>
    <w:rsid w:val="00EC3153"/>
    <w:rsid w:val="00EC76B5"/>
    <w:rsid w:val="00ED63E1"/>
    <w:rsid w:val="00EE551A"/>
    <w:rsid w:val="00EF72F2"/>
    <w:rsid w:val="00EF7AC5"/>
    <w:rsid w:val="00F053B5"/>
    <w:rsid w:val="00F139A2"/>
    <w:rsid w:val="00F14420"/>
    <w:rsid w:val="00F145EE"/>
    <w:rsid w:val="00F16B84"/>
    <w:rsid w:val="00F23CF1"/>
    <w:rsid w:val="00F36B2B"/>
    <w:rsid w:val="00F45B41"/>
    <w:rsid w:val="00F72031"/>
    <w:rsid w:val="00F763D7"/>
    <w:rsid w:val="00F825CB"/>
    <w:rsid w:val="00F90788"/>
    <w:rsid w:val="00FB2192"/>
    <w:rsid w:val="00FB7842"/>
    <w:rsid w:val="00FC3A37"/>
    <w:rsid w:val="00FC7967"/>
    <w:rsid w:val="00FD1F1A"/>
    <w:rsid w:val="00FD217A"/>
    <w:rsid w:val="00FE7682"/>
    <w:rsid w:val="00FF025F"/>
    <w:rsid w:val="00FF3331"/>
    <w:rsid w:val="00FF417F"/>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5E655"/>
  <w15:docId w15:val="{CB4177B8-9064-4228-B1AF-2CDE5C6F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sz w:val="24"/>
        <w:szCs w:val="24"/>
        <w:lang w:val="en-GB"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6"/>
    <w:rPr>
      <w:sz w:val="20"/>
    </w:rPr>
  </w:style>
  <w:style w:type="paragraph" w:styleId="Heading1">
    <w:name w:val="heading 1"/>
    <w:basedOn w:val="Normal"/>
    <w:next w:val="Normal"/>
    <w:link w:val="Heading1Char"/>
    <w:uiPriority w:val="9"/>
    <w:qFormat/>
    <w:rsid w:val="00BD33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06087"/>
    <w:pPr>
      <w:pageBreakBefore/>
      <w:spacing w:before="120" w:after="240"/>
      <w:jc w:val="both"/>
      <w:outlineLvl w:val="1"/>
    </w:pPr>
    <w:rPr>
      <w:rFonts w:eastAsia="Arial" w:cs="Arial"/>
      <w:b/>
      <w:color w:val="00AABE"/>
      <w:sz w:val="28"/>
      <w:szCs w:val="28"/>
    </w:rPr>
  </w:style>
  <w:style w:type="paragraph" w:styleId="Heading3">
    <w:name w:val="heading 3"/>
    <w:basedOn w:val="Normal"/>
    <w:next w:val="Normal"/>
    <w:link w:val="Heading3Char"/>
    <w:autoRedefine/>
    <w:uiPriority w:val="9"/>
    <w:unhideWhenUsed/>
    <w:qFormat/>
    <w:rsid w:val="002B4148"/>
    <w:pPr>
      <w:pageBreakBefore/>
      <w:spacing w:before="120" w:after="200"/>
      <w:outlineLvl w:val="2"/>
    </w:pPr>
    <w:rPr>
      <w:rFonts w:eastAsia="Arial" w:cs="Arial"/>
      <w:b/>
      <w:color w:val="005F9A"/>
      <w:sz w:val="24"/>
    </w:rPr>
  </w:style>
  <w:style w:type="paragraph" w:styleId="Heading4">
    <w:name w:val="heading 4"/>
    <w:aliases w:val="assessment-criteria"/>
    <w:basedOn w:val="Normal"/>
    <w:next w:val="Normal"/>
    <w:link w:val="Heading4Char"/>
    <w:autoRedefine/>
    <w:uiPriority w:val="9"/>
    <w:unhideWhenUsed/>
    <w:qFormat/>
    <w:rsid w:val="00185D98"/>
    <w:pPr>
      <w:spacing w:before="240" w:after="60"/>
      <w:contextualSpacing/>
      <w:outlineLvl w:val="3"/>
    </w:pPr>
    <w:rPr>
      <w:rFonts w:eastAsiaTheme="majorEastAsia" w:cs="Arial"/>
      <w:b/>
      <w:iCs/>
      <w:lang w:eastAsia="en-GB"/>
    </w:rPr>
  </w:style>
  <w:style w:type="paragraph" w:styleId="Heading5">
    <w:name w:val="heading 5"/>
    <w:basedOn w:val="Normal"/>
    <w:next w:val="Normal"/>
    <w:link w:val="Heading5Char"/>
    <w:unhideWhenUsed/>
    <w:qFormat/>
    <w:rsid w:val="00BD33A9"/>
    <w:pPr>
      <w:keepNext/>
      <w:keepLines/>
      <w:spacing w:before="340" w:line="288" w:lineRule="auto"/>
      <w:outlineLvl w:val="4"/>
    </w:pPr>
    <w:rPr>
      <w:rFonts w:eastAsia="Arial" w:cs="Arial"/>
      <w:b/>
      <w:color w:val="005F9A"/>
      <w:szCs w:val="22"/>
    </w:rPr>
  </w:style>
  <w:style w:type="paragraph" w:styleId="Heading6">
    <w:name w:val="heading 6"/>
    <w:basedOn w:val="Normal"/>
    <w:next w:val="Normal"/>
    <w:link w:val="Heading6Char"/>
    <w:unhideWhenUsed/>
    <w:qFormat/>
    <w:rsid w:val="00BD33A9"/>
    <w:pPr>
      <w:keepNext/>
      <w:keepLines/>
      <w:spacing w:before="320" w:line="288" w:lineRule="auto"/>
      <w:outlineLvl w:val="5"/>
    </w:pPr>
    <w:rPr>
      <w:rFonts w:eastAsia="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character" w:customStyle="1" w:styleId="Heading5Char">
    <w:name w:val="Heading 5 Char"/>
    <w:basedOn w:val="DefaultParagraphFont"/>
    <w:link w:val="Heading5"/>
    <w:rsid w:val="00BD33A9"/>
    <w:rPr>
      <w:rFonts w:ascii="Arial" w:eastAsia="Arial" w:hAnsi="Arial" w:cs="Arial"/>
      <w:b/>
      <w:color w:val="005F9A"/>
      <w:sz w:val="20"/>
      <w:lang w:val="en-GB" w:eastAsia="en-GB"/>
    </w:rPr>
  </w:style>
  <w:style w:type="character" w:customStyle="1" w:styleId="Heading6Char">
    <w:name w:val="Heading 6 Char"/>
    <w:basedOn w:val="DefaultParagraphFont"/>
    <w:link w:val="Heading6"/>
    <w:rsid w:val="00BD33A9"/>
    <w:rPr>
      <w:rFonts w:ascii="Arial" w:eastAsia="Arial" w:hAnsi="Arial" w:cs="Arial"/>
      <w:b/>
      <w:sz w:val="20"/>
      <w:szCs w:val="20"/>
      <w:lang w:val="en-GB" w:eastAsia="en-GB"/>
    </w:rPr>
  </w:style>
  <w:style w:type="character" w:styleId="FootnoteReference">
    <w:name w:val="footnote reference"/>
    <w:basedOn w:val="DefaultParagraphFont"/>
    <w:uiPriority w:val="99"/>
    <w:unhideWhenUsed/>
    <w:rsid w:val="00BD33A9"/>
    <w:rPr>
      <w:vertAlign w:val="superscript"/>
    </w:rPr>
  </w:style>
  <w:style w:type="character" w:customStyle="1" w:styleId="Heading1Char">
    <w:name w:val="Heading 1 Char"/>
    <w:basedOn w:val="DefaultParagraphFont"/>
    <w:link w:val="Heading1"/>
    <w:uiPriority w:val="9"/>
    <w:rsid w:val="00BD33A9"/>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unhideWhenUsed/>
    <w:rsid w:val="00BD33A9"/>
    <w:pPr>
      <w:tabs>
        <w:tab w:val="center" w:pos="4680"/>
        <w:tab w:val="right" w:pos="9360"/>
      </w:tabs>
    </w:pPr>
  </w:style>
  <w:style w:type="character" w:customStyle="1" w:styleId="HeaderChar">
    <w:name w:val="Header Char"/>
    <w:basedOn w:val="DefaultParagraphFont"/>
    <w:link w:val="Header"/>
    <w:uiPriority w:val="99"/>
    <w:rsid w:val="00BD33A9"/>
    <w:rPr>
      <w:rFonts w:ascii="Calibri" w:eastAsia="Calibri" w:hAnsi="Calibri" w:cs="Calibri"/>
      <w:sz w:val="24"/>
      <w:szCs w:val="24"/>
      <w:lang w:eastAsia="en-GB"/>
    </w:rPr>
  </w:style>
  <w:style w:type="paragraph" w:styleId="Footer">
    <w:name w:val="footer"/>
    <w:basedOn w:val="Normal"/>
    <w:link w:val="FooterChar"/>
    <w:uiPriority w:val="99"/>
    <w:unhideWhenUsed/>
    <w:rsid w:val="00BD33A9"/>
    <w:pPr>
      <w:tabs>
        <w:tab w:val="center" w:pos="4680"/>
        <w:tab w:val="right" w:pos="9360"/>
      </w:tabs>
    </w:pPr>
  </w:style>
  <w:style w:type="character" w:customStyle="1" w:styleId="FooterChar">
    <w:name w:val="Footer Char"/>
    <w:basedOn w:val="DefaultParagraphFont"/>
    <w:link w:val="Footer"/>
    <w:uiPriority w:val="99"/>
    <w:rsid w:val="00BD33A9"/>
    <w:rPr>
      <w:rFonts w:ascii="Calibri" w:eastAsia="Calibri" w:hAnsi="Calibri" w:cs="Calibri"/>
      <w:sz w:val="24"/>
      <w:szCs w:val="24"/>
      <w:lang w:eastAsia="en-GB"/>
    </w:rPr>
  </w:style>
  <w:style w:type="paragraph" w:styleId="ListParagraph">
    <w:name w:val="List Paragraph"/>
    <w:basedOn w:val="Normal"/>
    <w:autoRedefine/>
    <w:uiPriority w:val="34"/>
    <w:qFormat/>
    <w:rsid w:val="001460AF"/>
    <w:pPr>
      <w:numPr>
        <w:numId w:val="39"/>
      </w:numPr>
      <w:contextualSpacing/>
    </w:pPr>
  </w:style>
  <w:style w:type="character" w:customStyle="1" w:styleId="Heading2Char">
    <w:name w:val="Heading 2 Char"/>
    <w:basedOn w:val="DefaultParagraphFont"/>
    <w:link w:val="Heading2"/>
    <w:uiPriority w:val="9"/>
    <w:rsid w:val="00306087"/>
    <w:rPr>
      <w:rFonts w:eastAsia="Arial" w:cs="Arial"/>
      <w:b/>
      <w:color w:val="00AABE"/>
      <w:sz w:val="28"/>
      <w:szCs w:val="28"/>
    </w:rPr>
  </w:style>
  <w:style w:type="character" w:customStyle="1" w:styleId="Heading3Char">
    <w:name w:val="Heading 3 Char"/>
    <w:basedOn w:val="DefaultParagraphFont"/>
    <w:link w:val="Heading3"/>
    <w:uiPriority w:val="9"/>
    <w:rsid w:val="002B4148"/>
    <w:rPr>
      <w:rFonts w:eastAsia="Arial" w:cs="Arial"/>
      <w:b/>
      <w:color w:val="005F9A"/>
    </w:rPr>
  </w:style>
  <w:style w:type="character" w:styleId="Hyperlink">
    <w:name w:val="Hyperlink"/>
    <w:basedOn w:val="DefaultParagraphFont"/>
    <w:uiPriority w:val="99"/>
    <w:unhideWhenUsed/>
    <w:qFormat/>
    <w:rsid w:val="000C7766"/>
    <w:rPr>
      <w:rFonts w:ascii="Arial" w:hAnsi="Arial"/>
      <w:color w:val="005F9A"/>
      <w:u w:val="single"/>
    </w:rPr>
  </w:style>
  <w:style w:type="paragraph" w:styleId="NormalWeb">
    <w:name w:val="Normal (Web)"/>
    <w:basedOn w:val="Normal"/>
    <w:uiPriority w:val="99"/>
    <w:unhideWhenUsed/>
    <w:rsid w:val="00C72095"/>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8C429D"/>
    <w:pPr>
      <w:spacing w:line="259" w:lineRule="auto"/>
      <w:outlineLvl w:val="9"/>
    </w:pPr>
    <w:rPr>
      <w:lang w:eastAsia="en-US"/>
    </w:rPr>
  </w:style>
  <w:style w:type="paragraph" w:styleId="TOC1">
    <w:name w:val="toc 1"/>
    <w:basedOn w:val="Normal"/>
    <w:next w:val="Normal"/>
    <w:autoRedefine/>
    <w:uiPriority w:val="39"/>
    <w:unhideWhenUsed/>
    <w:rsid w:val="008C429D"/>
    <w:pPr>
      <w:tabs>
        <w:tab w:val="right" w:leader="dot" w:pos="9730"/>
      </w:tabs>
      <w:spacing w:after="100"/>
    </w:pPr>
    <w:rPr>
      <w:rFonts w:eastAsia="Arial" w:cs="Arial"/>
      <w:b/>
      <w:noProof/>
      <w:color w:val="00AABE"/>
    </w:rPr>
  </w:style>
  <w:style w:type="paragraph" w:styleId="TOC2">
    <w:name w:val="toc 2"/>
    <w:basedOn w:val="Normal"/>
    <w:next w:val="Normal"/>
    <w:autoRedefine/>
    <w:uiPriority w:val="39"/>
    <w:unhideWhenUsed/>
    <w:rsid w:val="008C429D"/>
    <w:pPr>
      <w:tabs>
        <w:tab w:val="right" w:leader="dot" w:pos="9730"/>
      </w:tabs>
      <w:spacing w:after="100"/>
      <w:ind w:left="240"/>
    </w:pPr>
    <w:rPr>
      <w:rFonts w:eastAsia="Times New Roman" w:cs="Arial"/>
      <w:b/>
      <w:noProof/>
      <w:color w:val="005F9A"/>
    </w:rPr>
  </w:style>
  <w:style w:type="paragraph" w:styleId="TOC3">
    <w:name w:val="toc 3"/>
    <w:basedOn w:val="Normal"/>
    <w:next w:val="Normal"/>
    <w:autoRedefine/>
    <w:uiPriority w:val="39"/>
    <w:unhideWhenUsed/>
    <w:rsid w:val="008C429D"/>
    <w:pPr>
      <w:spacing w:after="100"/>
      <w:ind w:left="480"/>
    </w:p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Cs w:val="20"/>
    </w:rPr>
  </w:style>
  <w:style w:type="character" w:customStyle="1" w:styleId="CommentTextChar">
    <w:name w:val="Comment Text Char"/>
    <w:basedOn w:val="DefaultParagraphFont"/>
    <w:link w:val="CommentText"/>
    <w:uiPriority w:val="99"/>
    <w:rsid w:val="008832FB"/>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rFonts w:ascii="Calibri" w:eastAsia="Calibri" w:hAnsi="Calibri" w:cs="Calibri"/>
      <w:b/>
      <w:bCs/>
      <w:sz w:val="20"/>
      <w:szCs w:val="20"/>
      <w:lang w:eastAsia="en-GB"/>
    </w:rPr>
  </w:style>
  <w:style w:type="paragraph" w:styleId="BalloonText">
    <w:name w:val="Balloon Text"/>
    <w:basedOn w:val="Normal"/>
    <w:link w:val="BalloonTextChar"/>
    <w:uiPriority w:val="99"/>
    <w:semiHidden/>
    <w:unhideWhenUsed/>
    <w:rsid w:val="008832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32FB"/>
    <w:rPr>
      <w:rFonts w:ascii="Times New Roman" w:eastAsia="Calibri" w:hAnsi="Times New Roman" w:cs="Times New Roman"/>
      <w:sz w:val="18"/>
      <w:szCs w:val="18"/>
      <w:lang w:eastAsia="en-GB"/>
    </w:rPr>
  </w:style>
  <w:style w:type="paragraph" w:styleId="Revision">
    <w:name w:val="Revision"/>
    <w:hidden/>
    <w:uiPriority w:val="99"/>
    <w:semiHidden/>
    <w:rsid w:val="00C94B2E"/>
    <w:rPr>
      <w:lang w:eastAsia="en-GB"/>
    </w:rPr>
  </w:style>
  <w:style w:type="character" w:customStyle="1" w:styleId="Heading4Char">
    <w:name w:val="Heading 4 Char"/>
    <w:aliases w:val="assessment-criteria Char"/>
    <w:basedOn w:val="DefaultParagraphFont"/>
    <w:link w:val="Heading4"/>
    <w:uiPriority w:val="9"/>
    <w:rsid w:val="00185D98"/>
    <w:rPr>
      <w:rFonts w:eastAsiaTheme="majorEastAsia" w:cs="Arial"/>
      <w:b/>
      <w:iCs/>
      <w:sz w:val="20"/>
      <w:lang w:eastAsia="en-GB"/>
    </w:rPr>
  </w:style>
  <w:style w:type="table" w:styleId="TableGrid">
    <w:name w:val="Table Grid"/>
    <w:basedOn w:val="TableNormal"/>
    <w:uiPriority w:val="39"/>
    <w:rsid w:val="00E76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le-size">
    <w:name w:val="file-size"/>
    <w:basedOn w:val="DefaultParagraphFont"/>
    <w:rsid w:val="00D12E0B"/>
  </w:style>
  <w:style w:type="character" w:styleId="FollowedHyperlink">
    <w:name w:val="FollowedHyperlink"/>
    <w:basedOn w:val="DefaultParagraphFont"/>
    <w:uiPriority w:val="99"/>
    <w:semiHidden/>
    <w:unhideWhenUsed/>
    <w:rsid w:val="00C70CAC"/>
    <w:rPr>
      <w:color w:val="954F72" w:themeColor="followedHyperlink"/>
      <w:u w:val="single"/>
    </w:rPr>
  </w:style>
  <w:style w:type="character" w:customStyle="1" w:styleId="UnresolvedMention1">
    <w:name w:val="Unresolved Mention1"/>
    <w:basedOn w:val="DefaultParagraphFont"/>
    <w:uiPriority w:val="99"/>
    <w:semiHidden/>
    <w:unhideWhenUsed/>
    <w:rsid w:val="00FD7431"/>
    <w:rPr>
      <w:color w:val="605E5C"/>
      <w:shd w:val="clear" w:color="auto" w:fill="E1DFDD"/>
    </w:rPr>
  </w:style>
  <w:style w:type="character" w:customStyle="1" w:styleId="markedcontent">
    <w:name w:val="markedcontent"/>
    <w:basedOn w:val="DefaultParagraphFont"/>
    <w:rsid w:val="009B2957"/>
  </w:style>
  <w:style w:type="character" w:customStyle="1" w:styleId="Mentionnonrsolue1">
    <w:name w:val="Mention non résolue1"/>
    <w:basedOn w:val="DefaultParagraphFont"/>
    <w:uiPriority w:val="99"/>
    <w:semiHidden/>
    <w:unhideWhenUsed/>
    <w:rsid w:val="00ED059B"/>
    <w:rPr>
      <w:color w:val="605E5C"/>
      <w:shd w:val="clear" w:color="auto" w:fill="E1DFDD"/>
    </w:rPr>
  </w:style>
  <w:style w:type="paragraph" w:styleId="Subtitle">
    <w:name w:val="Subtitle"/>
    <w:basedOn w:val="Normal"/>
    <w:next w:val="Normal"/>
    <w:link w:val="SubtitleChar"/>
    <w:autoRedefine/>
    <w:qFormat/>
    <w:rsid w:val="000C1635"/>
    <w:pPr>
      <w:keepNext/>
      <w:keepLines/>
      <w:spacing w:before="200" w:after="120"/>
    </w:pPr>
    <w:rPr>
      <w:rFonts w:eastAsia="Georgia" w:cs="Georgia"/>
      <w:b/>
      <w:sz w:val="22"/>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table" w:customStyle="1" w:styleId="afffd">
    <w:basedOn w:val="TableNormal"/>
    <w:tblPr>
      <w:tblStyleRowBandSize w:val="1"/>
      <w:tblStyleColBandSize w:val="1"/>
      <w:tblCellMar>
        <w:top w:w="15" w:type="dxa"/>
        <w:left w:w="15" w:type="dxa"/>
        <w:bottom w:w="15" w:type="dxa"/>
        <w:right w:w="15" w:type="dxa"/>
      </w:tblCellMar>
    </w:tblPr>
  </w:style>
  <w:style w:type="table" w:customStyle="1" w:styleId="afffe">
    <w:basedOn w:val="TableNormal"/>
    <w:tblPr>
      <w:tblStyleRowBandSize w:val="1"/>
      <w:tblStyleColBandSize w:val="1"/>
      <w:tblCellMar>
        <w:top w:w="15" w:type="dxa"/>
        <w:left w:w="15" w:type="dxa"/>
        <w:bottom w:w="15" w:type="dxa"/>
        <w:right w:w="15" w:type="dxa"/>
      </w:tblCellMar>
    </w:tblPr>
  </w:style>
  <w:style w:type="table" w:customStyle="1" w:styleId="affff">
    <w:basedOn w:val="TableNormal"/>
    <w:tblPr>
      <w:tblStyleRowBandSize w:val="1"/>
      <w:tblStyleColBandSize w:val="1"/>
      <w:tblCellMar>
        <w:top w:w="15" w:type="dxa"/>
        <w:left w:w="15" w:type="dxa"/>
        <w:bottom w:w="15" w:type="dxa"/>
        <w:right w:w="15" w:type="dxa"/>
      </w:tblCellMar>
    </w:tblPr>
  </w:style>
  <w:style w:type="table" w:customStyle="1" w:styleId="affff0">
    <w:basedOn w:val="TableNormal"/>
    <w:tblPr>
      <w:tblStyleRowBandSize w:val="1"/>
      <w:tblStyleColBandSize w:val="1"/>
      <w:tblCellMar>
        <w:top w:w="15" w:type="dxa"/>
        <w:left w:w="15" w:type="dxa"/>
        <w:bottom w:w="15" w:type="dxa"/>
        <w:right w:w="15" w:type="dxa"/>
      </w:tblCellMar>
    </w:tblPr>
  </w:style>
  <w:style w:type="table" w:customStyle="1" w:styleId="affff1">
    <w:basedOn w:val="TableNormal"/>
    <w:tblPr>
      <w:tblStyleRowBandSize w:val="1"/>
      <w:tblStyleColBandSize w:val="1"/>
      <w:tblCellMar>
        <w:top w:w="15" w:type="dxa"/>
        <w:left w:w="15" w:type="dxa"/>
        <w:bottom w:w="15" w:type="dxa"/>
        <w:right w:w="15" w:type="dxa"/>
      </w:tblCellMar>
    </w:tblPr>
  </w:style>
  <w:style w:type="table" w:customStyle="1" w:styleId="affff2">
    <w:basedOn w:val="TableNormal"/>
    <w:tblPr>
      <w:tblStyleRowBandSize w:val="1"/>
      <w:tblStyleColBandSize w:val="1"/>
      <w:tblCellMar>
        <w:top w:w="15" w:type="dxa"/>
        <w:left w:w="15" w:type="dxa"/>
        <w:bottom w:w="15" w:type="dxa"/>
        <w:right w:w="15" w:type="dxa"/>
      </w:tblCellMar>
    </w:tblPr>
  </w:style>
  <w:style w:type="table" w:customStyle="1" w:styleId="affff3">
    <w:basedOn w:val="TableNormal"/>
    <w:tblPr>
      <w:tblStyleRowBandSize w:val="1"/>
      <w:tblStyleColBandSize w:val="1"/>
      <w:tblCellMar>
        <w:top w:w="15" w:type="dxa"/>
        <w:left w:w="15" w:type="dxa"/>
        <w:bottom w:w="15" w:type="dxa"/>
        <w:right w:w="15" w:type="dxa"/>
      </w:tblCellMar>
    </w:tblPr>
  </w:style>
  <w:style w:type="table" w:customStyle="1" w:styleId="affff4">
    <w:basedOn w:val="TableNormal"/>
    <w:tblPr>
      <w:tblStyleRowBandSize w:val="1"/>
      <w:tblStyleColBandSize w:val="1"/>
      <w:tblCellMar>
        <w:top w:w="15" w:type="dxa"/>
        <w:left w:w="15" w:type="dxa"/>
        <w:bottom w:w="15" w:type="dxa"/>
        <w:right w:w="15" w:type="dxa"/>
      </w:tblCellMar>
    </w:tblPr>
  </w:style>
  <w:style w:type="table" w:customStyle="1" w:styleId="affff5">
    <w:basedOn w:val="TableNormal"/>
    <w:tblPr>
      <w:tblStyleRowBandSize w:val="1"/>
      <w:tblStyleColBandSize w:val="1"/>
      <w:tblCellMar>
        <w:top w:w="15" w:type="dxa"/>
        <w:left w:w="15" w:type="dxa"/>
        <w:bottom w:w="15" w:type="dxa"/>
        <w:right w:w="15" w:type="dxa"/>
      </w:tblCellMar>
    </w:tblPr>
  </w:style>
  <w:style w:type="table" w:customStyle="1" w:styleId="affff6">
    <w:basedOn w:val="TableNormal"/>
    <w:tblPr>
      <w:tblStyleRowBandSize w:val="1"/>
      <w:tblStyleColBandSize w:val="1"/>
      <w:tblCellMar>
        <w:top w:w="15" w:type="dxa"/>
        <w:left w:w="15" w:type="dxa"/>
        <w:bottom w:w="15" w:type="dxa"/>
        <w:right w:w="15" w:type="dxa"/>
      </w:tblCellMar>
    </w:tblPr>
  </w:style>
  <w:style w:type="table" w:customStyle="1" w:styleId="affff7">
    <w:basedOn w:val="TableNormal"/>
    <w:tblPr>
      <w:tblStyleRowBandSize w:val="1"/>
      <w:tblStyleColBandSize w:val="1"/>
      <w:tblCellMar>
        <w:top w:w="15" w:type="dxa"/>
        <w:left w:w="15" w:type="dxa"/>
        <w:bottom w:w="15" w:type="dxa"/>
        <w:right w:w="15" w:type="dxa"/>
      </w:tblCellMar>
    </w:tblPr>
  </w:style>
  <w:style w:type="table" w:customStyle="1" w:styleId="affff8">
    <w:basedOn w:val="TableNormal"/>
    <w:tblPr>
      <w:tblStyleRowBandSize w:val="1"/>
      <w:tblStyleColBandSize w:val="1"/>
      <w:tblCellMar>
        <w:top w:w="15" w:type="dxa"/>
        <w:left w:w="15" w:type="dxa"/>
        <w:bottom w:w="15" w:type="dxa"/>
        <w:right w:w="15" w:type="dxa"/>
      </w:tblCellMar>
    </w:tblPr>
  </w:style>
  <w:style w:type="table" w:customStyle="1" w:styleId="affff9">
    <w:basedOn w:val="TableNormal"/>
    <w:tblPr>
      <w:tblStyleRowBandSize w:val="1"/>
      <w:tblStyleColBandSize w:val="1"/>
      <w:tblCellMar>
        <w:top w:w="15" w:type="dxa"/>
        <w:left w:w="15" w:type="dxa"/>
        <w:bottom w:w="15" w:type="dxa"/>
        <w:right w:w="15" w:type="dxa"/>
      </w:tblCellMar>
    </w:tblPr>
  </w:style>
  <w:style w:type="table" w:customStyle="1" w:styleId="affffa">
    <w:basedOn w:val="TableNormal"/>
    <w:tblPr>
      <w:tblStyleRowBandSize w:val="1"/>
      <w:tblStyleColBandSize w:val="1"/>
      <w:tblCellMar>
        <w:top w:w="15" w:type="dxa"/>
        <w:left w:w="15" w:type="dxa"/>
        <w:bottom w:w="15" w:type="dxa"/>
        <w:right w:w="15" w:type="dxa"/>
      </w:tblCellMar>
    </w:tblPr>
  </w:style>
  <w:style w:type="table" w:customStyle="1" w:styleId="affffb">
    <w:basedOn w:val="TableNormal"/>
    <w:tblPr>
      <w:tblStyleRowBandSize w:val="1"/>
      <w:tblStyleColBandSize w:val="1"/>
      <w:tblCellMar>
        <w:top w:w="15" w:type="dxa"/>
        <w:left w:w="15" w:type="dxa"/>
        <w:bottom w:w="15" w:type="dxa"/>
        <w:right w:w="15" w:type="dxa"/>
      </w:tblCellMar>
    </w:tblPr>
  </w:style>
  <w:style w:type="table" w:customStyle="1" w:styleId="affffc">
    <w:basedOn w:val="TableNormal"/>
    <w:tblPr>
      <w:tblStyleRowBandSize w:val="1"/>
      <w:tblStyleColBandSize w:val="1"/>
      <w:tblCellMar>
        <w:top w:w="15" w:type="dxa"/>
        <w:left w:w="15" w:type="dxa"/>
        <w:bottom w:w="15" w:type="dxa"/>
        <w:right w:w="15" w:type="dxa"/>
      </w:tblCellMar>
    </w:tblPr>
  </w:style>
  <w:style w:type="table" w:customStyle="1" w:styleId="affffd">
    <w:basedOn w:val="TableNormal"/>
    <w:tblPr>
      <w:tblStyleRowBandSize w:val="1"/>
      <w:tblStyleColBandSize w:val="1"/>
      <w:tblCellMar>
        <w:top w:w="15" w:type="dxa"/>
        <w:left w:w="15" w:type="dxa"/>
        <w:bottom w:w="15" w:type="dxa"/>
        <w:right w:w="15" w:type="dxa"/>
      </w:tblCellMar>
    </w:tblPr>
  </w:style>
  <w:style w:type="table" w:customStyle="1" w:styleId="affffe">
    <w:basedOn w:val="TableNormal"/>
    <w:tblPr>
      <w:tblStyleRowBandSize w:val="1"/>
      <w:tblStyleColBandSize w:val="1"/>
      <w:tblCellMar>
        <w:top w:w="15" w:type="dxa"/>
        <w:left w:w="15" w:type="dxa"/>
        <w:bottom w:w="15" w:type="dxa"/>
        <w:right w:w="15" w:type="dxa"/>
      </w:tblCellMar>
    </w:tblPr>
  </w:style>
  <w:style w:type="table" w:customStyle="1" w:styleId="afffff">
    <w:basedOn w:val="TableNormal"/>
    <w:tblPr>
      <w:tblStyleRowBandSize w:val="1"/>
      <w:tblStyleColBandSize w:val="1"/>
      <w:tblCellMar>
        <w:top w:w="15" w:type="dxa"/>
        <w:left w:w="15" w:type="dxa"/>
        <w:bottom w:w="15" w:type="dxa"/>
        <w:right w:w="15" w:type="dxa"/>
      </w:tblCellMar>
    </w:tblPr>
  </w:style>
  <w:style w:type="table" w:customStyle="1" w:styleId="afffff0">
    <w:basedOn w:val="TableNormal"/>
    <w:tblPr>
      <w:tblStyleRowBandSize w:val="1"/>
      <w:tblStyleColBandSize w:val="1"/>
      <w:tblCellMar>
        <w:top w:w="15" w:type="dxa"/>
        <w:left w:w="15" w:type="dxa"/>
        <w:bottom w:w="15" w:type="dxa"/>
        <w:right w:w="15" w:type="dxa"/>
      </w:tblCellMar>
    </w:tblPr>
  </w:style>
  <w:style w:type="table" w:customStyle="1" w:styleId="afffff1">
    <w:basedOn w:val="TableNormal"/>
    <w:tblPr>
      <w:tblStyleRowBandSize w:val="1"/>
      <w:tblStyleColBandSize w:val="1"/>
      <w:tblCellMar>
        <w:top w:w="15" w:type="dxa"/>
        <w:left w:w="15" w:type="dxa"/>
        <w:bottom w:w="15" w:type="dxa"/>
        <w:right w:w="15" w:type="dxa"/>
      </w:tblCellMar>
    </w:tblPr>
  </w:style>
  <w:style w:type="table" w:customStyle="1" w:styleId="afffff2">
    <w:basedOn w:val="TableNormal"/>
    <w:tblPr>
      <w:tblStyleRowBandSize w:val="1"/>
      <w:tblStyleColBandSize w:val="1"/>
      <w:tblCellMar>
        <w:top w:w="15" w:type="dxa"/>
        <w:left w:w="15" w:type="dxa"/>
        <w:bottom w:w="15" w:type="dxa"/>
        <w:right w:w="15" w:type="dxa"/>
      </w:tblCellMar>
    </w:tblPr>
  </w:style>
  <w:style w:type="table" w:customStyle="1" w:styleId="afffff3">
    <w:basedOn w:val="TableNormal"/>
    <w:tblPr>
      <w:tblStyleRowBandSize w:val="1"/>
      <w:tblStyleColBandSize w:val="1"/>
      <w:tblCellMar>
        <w:top w:w="15" w:type="dxa"/>
        <w:left w:w="15" w:type="dxa"/>
        <w:bottom w:w="15" w:type="dxa"/>
        <w:right w:w="15" w:type="dxa"/>
      </w:tblCellMar>
    </w:tblPr>
  </w:style>
  <w:style w:type="table" w:customStyle="1" w:styleId="afffff4">
    <w:basedOn w:val="TableNormal"/>
    <w:tblPr>
      <w:tblStyleRowBandSize w:val="1"/>
      <w:tblStyleColBandSize w:val="1"/>
      <w:tblCellMar>
        <w:top w:w="15" w:type="dxa"/>
        <w:left w:w="15" w:type="dxa"/>
        <w:bottom w:w="15" w:type="dxa"/>
        <w:right w:w="15" w:type="dxa"/>
      </w:tblCellMar>
    </w:tblPr>
  </w:style>
  <w:style w:type="table" w:customStyle="1" w:styleId="afffff5">
    <w:basedOn w:val="TableNormal"/>
    <w:tblPr>
      <w:tblStyleRowBandSize w:val="1"/>
      <w:tblStyleColBandSize w:val="1"/>
      <w:tblCellMar>
        <w:top w:w="15" w:type="dxa"/>
        <w:left w:w="15" w:type="dxa"/>
        <w:bottom w:w="15" w:type="dxa"/>
        <w:right w:w="15" w:type="dxa"/>
      </w:tblCellMar>
    </w:tblPr>
  </w:style>
  <w:style w:type="table" w:customStyle="1" w:styleId="afffff6">
    <w:basedOn w:val="TableNormal"/>
    <w:tblPr>
      <w:tblStyleRowBandSize w:val="1"/>
      <w:tblStyleColBandSize w:val="1"/>
      <w:tblCellMar>
        <w:top w:w="15" w:type="dxa"/>
        <w:left w:w="15" w:type="dxa"/>
        <w:bottom w:w="15" w:type="dxa"/>
        <w:right w:w="15" w:type="dxa"/>
      </w:tblCellMar>
    </w:tblPr>
  </w:style>
  <w:style w:type="table" w:customStyle="1" w:styleId="afffff7">
    <w:basedOn w:val="TableNormal"/>
    <w:tblPr>
      <w:tblStyleRowBandSize w:val="1"/>
      <w:tblStyleColBandSize w:val="1"/>
      <w:tblCellMar>
        <w:top w:w="15" w:type="dxa"/>
        <w:left w:w="15" w:type="dxa"/>
        <w:bottom w:w="15" w:type="dxa"/>
        <w:right w:w="15" w:type="dxa"/>
      </w:tblCellMar>
    </w:tblPr>
  </w:style>
  <w:style w:type="table" w:customStyle="1" w:styleId="afffff8">
    <w:basedOn w:val="TableNormal"/>
    <w:tblPr>
      <w:tblStyleRowBandSize w:val="1"/>
      <w:tblStyleColBandSize w:val="1"/>
      <w:tblCellMar>
        <w:top w:w="15" w:type="dxa"/>
        <w:left w:w="15" w:type="dxa"/>
        <w:bottom w:w="15" w:type="dxa"/>
        <w:right w:w="15" w:type="dxa"/>
      </w:tblCellMar>
    </w:tblPr>
  </w:style>
  <w:style w:type="table" w:customStyle="1" w:styleId="afffff9">
    <w:basedOn w:val="TableNormal"/>
    <w:tblPr>
      <w:tblStyleRowBandSize w:val="1"/>
      <w:tblStyleColBandSize w:val="1"/>
      <w:tblCellMar>
        <w:top w:w="15" w:type="dxa"/>
        <w:left w:w="15" w:type="dxa"/>
        <w:bottom w:w="15" w:type="dxa"/>
        <w:right w:w="15" w:type="dxa"/>
      </w:tblCellMar>
    </w:tblPr>
  </w:style>
  <w:style w:type="table" w:customStyle="1" w:styleId="afffffa">
    <w:basedOn w:val="TableNormal"/>
    <w:tblPr>
      <w:tblStyleRowBandSize w:val="1"/>
      <w:tblStyleColBandSize w:val="1"/>
      <w:tblCellMar>
        <w:top w:w="15" w:type="dxa"/>
        <w:left w:w="15" w:type="dxa"/>
        <w:bottom w:w="15" w:type="dxa"/>
        <w:right w:w="15" w:type="dxa"/>
      </w:tblCellMar>
    </w:tblPr>
  </w:style>
  <w:style w:type="table" w:customStyle="1" w:styleId="afffffb">
    <w:basedOn w:val="TableNormal"/>
    <w:tblPr>
      <w:tblStyleRowBandSize w:val="1"/>
      <w:tblStyleColBandSize w:val="1"/>
      <w:tblCellMar>
        <w:top w:w="15" w:type="dxa"/>
        <w:left w:w="15" w:type="dxa"/>
        <w:bottom w:w="15" w:type="dxa"/>
        <w:right w:w="15" w:type="dxa"/>
      </w:tblCellMar>
    </w:tblPr>
  </w:style>
  <w:style w:type="table" w:customStyle="1" w:styleId="afffffc">
    <w:basedOn w:val="TableNormal"/>
    <w:tblPr>
      <w:tblStyleRowBandSize w:val="1"/>
      <w:tblStyleColBandSize w:val="1"/>
      <w:tblCellMar>
        <w:top w:w="15" w:type="dxa"/>
        <w:left w:w="15" w:type="dxa"/>
        <w:bottom w:w="15" w:type="dxa"/>
        <w:right w:w="15" w:type="dxa"/>
      </w:tblCellMar>
    </w:tblPr>
  </w:style>
  <w:style w:type="table" w:customStyle="1" w:styleId="afffffd">
    <w:basedOn w:val="TableNormal"/>
    <w:tblPr>
      <w:tblStyleRowBandSize w:val="1"/>
      <w:tblStyleColBandSize w:val="1"/>
      <w:tblCellMar>
        <w:top w:w="15" w:type="dxa"/>
        <w:left w:w="15" w:type="dxa"/>
        <w:bottom w:w="15" w:type="dxa"/>
        <w:right w:w="15" w:type="dxa"/>
      </w:tblCellMar>
    </w:tblPr>
  </w:style>
  <w:style w:type="table" w:customStyle="1" w:styleId="afffffe">
    <w:basedOn w:val="TableNormal"/>
    <w:tblPr>
      <w:tblStyleRowBandSize w:val="1"/>
      <w:tblStyleColBandSize w:val="1"/>
      <w:tblCellMar>
        <w:top w:w="15" w:type="dxa"/>
        <w:left w:w="15" w:type="dxa"/>
        <w:bottom w:w="15" w:type="dxa"/>
        <w:right w:w="15" w:type="dxa"/>
      </w:tblCellMar>
    </w:tblPr>
  </w:style>
  <w:style w:type="table" w:customStyle="1" w:styleId="affffff">
    <w:basedOn w:val="TableNormal"/>
    <w:tblPr>
      <w:tblStyleRowBandSize w:val="1"/>
      <w:tblStyleColBandSize w:val="1"/>
      <w:tblCellMar>
        <w:top w:w="15" w:type="dxa"/>
        <w:left w:w="15" w:type="dxa"/>
        <w:bottom w:w="15" w:type="dxa"/>
        <w:right w:w="15" w:type="dxa"/>
      </w:tblCellMar>
    </w:tblPr>
  </w:style>
  <w:style w:type="table" w:customStyle="1" w:styleId="affffff0">
    <w:basedOn w:val="TableNormal"/>
    <w:tblPr>
      <w:tblStyleRowBandSize w:val="1"/>
      <w:tblStyleColBandSize w:val="1"/>
      <w:tblCellMar>
        <w:top w:w="15" w:type="dxa"/>
        <w:left w:w="15" w:type="dxa"/>
        <w:bottom w:w="15" w:type="dxa"/>
        <w:right w:w="15" w:type="dxa"/>
      </w:tblCellMar>
    </w:tblPr>
  </w:style>
  <w:style w:type="table" w:customStyle="1" w:styleId="affffff1">
    <w:basedOn w:val="TableNormal"/>
    <w:tblPr>
      <w:tblStyleRowBandSize w:val="1"/>
      <w:tblStyleColBandSize w:val="1"/>
      <w:tblCellMar>
        <w:top w:w="15" w:type="dxa"/>
        <w:left w:w="15" w:type="dxa"/>
        <w:bottom w:w="15" w:type="dxa"/>
        <w:right w:w="15" w:type="dxa"/>
      </w:tblCellMar>
    </w:tblPr>
  </w:style>
  <w:style w:type="table" w:customStyle="1" w:styleId="affffff2">
    <w:basedOn w:val="TableNormal"/>
    <w:tblPr>
      <w:tblStyleRowBandSize w:val="1"/>
      <w:tblStyleColBandSize w:val="1"/>
      <w:tblCellMar>
        <w:top w:w="15" w:type="dxa"/>
        <w:left w:w="15" w:type="dxa"/>
        <w:bottom w:w="15" w:type="dxa"/>
        <w:right w:w="15" w:type="dxa"/>
      </w:tblCellMar>
    </w:tblPr>
  </w:style>
  <w:style w:type="table" w:customStyle="1" w:styleId="affffff3">
    <w:basedOn w:val="TableNormal"/>
    <w:tblPr>
      <w:tblStyleRowBandSize w:val="1"/>
      <w:tblStyleColBandSize w:val="1"/>
      <w:tblCellMar>
        <w:top w:w="15" w:type="dxa"/>
        <w:left w:w="15" w:type="dxa"/>
        <w:bottom w:w="15" w:type="dxa"/>
        <w:right w:w="15" w:type="dxa"/>
      </w:tblCellMar>
    </w:tblPr>
  </w:style>
  <w:style w:type="table" w:customStyle="1" w:styleId="affffff4">
    <w:basedOn w:val="TableNormal"/>
    <w:tblPr>
      <w:tblStyleRowBandSize w:val="1"/>
      <w:tblStyleColBandSize w:val="1"/>
      <w:tblCellMar>
        <w:top w:w="15" w:type="dxa"/>
        <w:left w:w="15" w:type="dxa"/>
        <w:bottom w:w="15" w:type="dxa"/>
        <w:right w:w="15" w:type="dxa"/>
      </w:tblCellMar>
    </w:tblPr>
  </w:style>
  <w:style w:type="table" w:customStyle="1" w:styleId="affffff5">
    <w:basedOn w:val="TableNormal"/>
    <w:tblPr>
      <w:tblStyleRowBandSize w:val="1"/>
      <w:tblStyleColBandSize w:val="1"/>
      <w:tblCellMar>
        <w:top w:w="15" w:type="dxa"/>
        <w:left w:w="15" w:type="dxa"/>
        <w:bottom w:w="15" w:type="dxa"/>
        <w:right w:w="15" w:type="dxa"/>
      </w:tblCellMar>
    </w:tblPr>
  </w:style>
  <w:style w:type="table" w:customStyle="1" w:styleId="affffff6">
    <w:basedOn w:val="TableNormal"/>
    <w:tblPr>
      <w:tblStyleRowBandSize w:val="1"/>
      <w:tblStyleColBandSize w:val="1"/>
      <w:tblCellMar>
        <w:top w:w="15" w:type="dxa"/>
        <w:left w:w="15" w:type="dxa"/>
        <w:bottom w:w="15" w:type="dxa"/>
        <w:right w:w="15" w:type="dxa"/>
      </w:tblCellMar>
    </w:tblPr>
  </w:style>
  <w:style w:type="table" w:customStyle="1" w:styleId="affffff7">
    <w:basedOn w:val="TableNormal"/>
    <w:tblPr>
      <w:tblStyleRowBandSize w:val="1"/>
      <w:tblStyleColBandSize w:val="1"/>
      <w:tblCellMar>
        <w:top w:w="15" w:type="dxa"/>
        <w:left w:w="15" w:type="dxa"/>
        <w:bottom w:w="15" w:type="dxa"/>
        <w:right w:w="15" w:type="dxa"/>
      </w:tblCellMar>
    </w:tblPr>
  </w:style>
  <w:style w:type="table" w:customStyle="1" w:styleId="affffff8">
    <w:basedOn w:val="TableNormal"/>
    <w:tblPr>
      <w:tblStyleRowBandSize w:val="1"/>
      <w:tblStyleColBandSize w:val="1"/>
      <w:tblCellMar>
        <w:top w:w="15" w:type="dxa"/>
        <w:left w:w="15" w:type="dxa"/>
        <w:bottom w:w="15" w:type="dxa"/>
        <w:right w:w="15" w:type="dxa"/>
      </w:tblCellMar>
    </w:tblPr>
  </w:style>
  <w:style w:type="table" w:customStyle="1" w:styleId="affffff9">
    <w:basedOn w:val="TableNormal"/>
    <w:tblPr>
      <w:tblStyleRowBandSize w:val="1"/>
      <w:tblStyleColBandSize w:val="1"/>
      <w:tblCellMar>
        <w:top w:w="15" w:type="dxa"/>
        <w:left w:w="15" w:type="dxa"/>
        <w:bottom w:w="15" w:type="dxa"/>
        <w:right w:w="15" w:type="dxa"/>
      </w:tblCellMar>
    </w:tblPr>
  </w:style>
  <w:style w:type="table" w:customStyle="1" w:styleId="affffffa">
    <w:basedOn w:val="TableNormal"/>
    <w:tblPr>
      <w:tblStyleRowBandSize w:val="1"/>
      <w:tblStyleColBandSize w:val="1"/>
      <w:tblCellMar>
        <w:top w:w="15" w:type="dxa"/>
        <w:left w:w="15" w:type="dxa"/>
        <w:bottom w:w="15" w:type="dxa"/>
        <w:right w:w="15" w:type="dxa"/>
      </w:tblCellMar>
    </w:tblPr>
  </w:style>
  <w:style w:type="table" w:customStyle="1" w:styleId="affffffb">
    <w:basedOn w:val="TableNormal"/>
    <w:tblPr>
      <w:tblStyleRowBandSize w:val="1"/>
      <w:tblStyleColBandSize w:val="1"/>
      <w:tblCellMar>
        <w:top w:w="15" w:type="dxa"/>
        <w:left w:w="15" w:type="dxa"/>
        <w:bottom w:w="15" w:type="dxa"/>
        <w:right w:w="15" w:type="dxa"/>
      </w:tblCellMar>
    </w:tblPr>
  </w:style>
  <w:style w:type="table" w:customStyle="1" w:styleId="affffffc">
    <w:basedOn w:val="TableNormal"/>
    <w:tblPr>
      <w:tblStyleRowBandSize w:val="1"/>
      <w:tblStyleColBandSize w:val="1"/>
      <w:tblCellMar>
        <w:top w:w="15" w:type="dxa"/>
        <w:left w:w="15" w:type="dxa"/>
        <w:bottom w:w="15" w:type="dxa"/>
        <w:right w:w="15" w:type="dxa"/>
      </w:tblCellMar>
    </w:tblPr>
  </w:style>
  <w:style w:type="table" w:customStyle="1" w:styleId="affffffd">
    <w:basedOn w:val="TableNormal"/>
    <w:tblPr>
      <w:tblStyleRowBandSize w:val="1"/>
      <w:tblStyleColBandSize w:val="1"/>
      <w:tblCellMar>
        <w:top w:w="15" w:type="dxa"/>
        <w:left w:w="15" w:type="dxa"/>
        <w:bottom w:w="15" w:type="dxa"/>
        <w:right w:w="15" w:type="dxa"/>
      </w:tblCellMar>
    </w:tblPr>
  </w:style>
  <w:style w:type="table" w:customStyle="1" w:styleId="affffffe">
    <w:basedOn w:val="TableNormal"/>
    <w:tblPr>
      <w:tblStyleRowBandSize w:val="1"/>
      <w:tblStyleColBandSize w:val="1"/>
      <w:tblCellMar>
        <w:top w:w="15" w:type="dxa"/>
        <w:left w:w="15" w:type="dxa"/>
        <w:bottom w:w="15" w:type="dxa"/>
        <w:right w:w="15" w:type="dxa"/>
      </w:tblCellMar>
    </w:tblPr>
  </w:style>
  <w:style w:type="table" w:customStyle="1" w:styleId="afffffff">
    <w:basedOn w:val="TableNormal"/>
    <w:tblPr>
      <w:tblStyleRowBandSize w:val="1"/>
      <w:tblStyleColBandSize w:val="1"/>
      <w:tblCellMar>
        <w:top w:w="15" w:type="dxa"/>
        <w:left w:w="15" w:type="dxa"/>
        <w:bottom w:w="15" w:type="dxa"/>
        <w:right w:w="15" w:type="dxa"/>
      </w:tblCellMar>
    </w:tblPr>
  </w:style>
  <w:style w:type="table" w:customStyle="1" w:styleId="afffffff0">
    <w:basedOn w:val="TableNormal"/>
    <w:tblPr>
      <w:tblStyleRowBandSize w:val="1"/>
      <w:tblStyleColBandSize w:val="1"/>
      <w:tblCellMar>
        <w:top w:w="15" w:type="dxa"/>
        <w:left w:w="15" w:type="dxa"/>
        <w:bottom w:w="15" w:type="dxa"/>
        <w:right w:w="15" w:type="dxa"/>
      </w:tblCellMar>
    </w:tblPr>
  </w:style>
  <w:style w:type="table" w:customStyle="1" w:styleId="afffffff1">
    <w:basedOn w:val="TableNormal"/>
    <w:tblPr>
      <w:tblStyleRowBandSize w:val="1"/>
      <w:tblStyleColBandSize w:val="1"/>
      <w:tblCellMar>
        <w:top w:w="15" w:type="dxa"/>
        <w:left w:w="15" w:type="dxa"/>
        <w:bottom w:w="15" w:type="dxa"/>
        <w:right w:w="15" w:type="dxa"/>
      </w:tblCellMar>
    </w:tblPr>
  </w:style>
  <w:style w:type="table" w:customStyle="1" w:styleId="afffffff2">
    <w:basedOn w:val="TableNormal"/>
    <w:tblPr>
      <w:tblStyleRowBandSize w:val="1"/>
      <w:tblStyleColBandSize w:val="1"/>
      <w:tblCellMar>
        <w:top w:w="15" w:type="dxa"/>
        <w:left w:w="15" w:type="dxa"/>
        <w:bottom w:w="15" w:type="dxa"/>
        <w:right w:w="15" w:type="dxa"/>
      </w:tblCellMar>
    </w:tblPr>
  </w:style>
  <w:style w:type="table" w:customStyle="1" w:styleId="afffffff3">
    <w:basedOn w:val="TableNormal"/>
    <w:tblPr>
      <w:tblStyleRowBandSize w:val="1"/>
      <w:tblStyleColBandSize w:val="1"/>
      <w:tblCellMar>
        <w:top w:w="15" w:type="dxa"/>
        <w:left w:w="15" w:type="dxa"/>
        <w:bottom w:w="15" w:type="dxa"/>
        <w:right w:w="15" w:type="dxa"/>
      </w:tblCellMar>
    </w:tblPr>
  </w:style>
  <w:style w:type="table" w:customStyle="1" w:styleId="afffffff4">
    <w:basedOn w:val="TableNormal"/>
    <w:tblPr>
      <w:tblStyleRowBandSize w:val="1"/>
      <w:tblStyleColBandSize w:val="1"/>
      <w:tblCellMar>
        <w:top w:w="15" w:type="dxa"/>
        <w:left w:w="15" w:type="dxa"/>
        <w:bottom w:w="15" w:type="dxa"/>
        <w:right w:w="15" w:type="dxa"/>
      </w:tblCellMar>
    </w:tblPr>
  </w:style>
  <w:style w:type="table" w:customStyle="1" w:styleId="afffffff5">
    <w:basedOn w:val="TableNormal"/>
    <w:tblPr>
      <w:tblStyleRowBandSize w:val="1"/>
      <w:tblStyleColBandSize w:val="1"/>
      <w:tblCellMar>
        <w:top w:w="15" w:type="dxa"/>
        <w:left w:w="15" w:type="dxa"/>
        <w:bottom w:w="15" w:type="dxa"/>
        <w:right w:w="15" w:type="dxa"/>
      </w:tblCellMar>
    </w:tblPr>
  </w:style>
  <w:style w:type="table" w:customStyle="1" w:styleId="afffffff6">
    <w:basedOn w:val="TableNormal"/>
    <w:tblPr>
      <w:tblStyleRowBandSize w:val="1"/>
      <w:tblStyleColBandSize w:val="1"/>
      <w:tblCellMar>
        <w:top w:w="15" w:type="dxa"/>
        <w:left w:w="15" w:type="dxa"/>
        <w:bottom w:w="15" w:type="dxa"/>
        <w:right w:w="15" w:type="dxa"/>
      </w:tblCellMar>
    </w:tblPr>
  </w:style>
  <w:style w:type="table" w:customStyle="1" w:styleId="afffffff7">
    <w:basedOn w:val="TableNormal"/>
    <w:tblPr>
      <w:tblStyleRowBandSize w:val="1"/>
      <w:tblStyleColBandSize w:val="1"/>
      <w:tblCellMar>
        <w:top w:w="15" w:type="dxa"/>
        <w:left w:w="15" w:type="dxa"/>
        <w:bottom w:w="15" w:type="dxa"/>
        <w:right w:w="15" w:type="dxa"/>
      </w:tblCellMar>
    </w:tblPr>
  </w:style>
  <w:style w:type="table" w:customStyle="1" w:styleId="afffffff8">
    <w:basedOn w:val="TableNormal"/>
    <w:tblPr>
      <w:tblStyleRowBandSize w:val="1"/>
      <w:tblStyleColBandSize w:val="1"/>
      <w:tblCellMar>
        <w:top w:w="15" w:type="dxa"/>
        <w:left w:w="15" w:type="dxa"/>
        <w:bottom w:w="15" w:type="dxa"/>
        <w:right w:w="15" w:type="dxa"/>
      </w:tblCellMar>
    </w:tblPr>
  </w:style>
  <w:style w:type="table" w:customStyle="1" w:styleId="afffffff9">
    <w:basedOn w:val="TableNormal"/>
    <w:tblPr>
      <w:tblStyleRowBandSize w:val="1"/>
      <w:tblStyleColBandSize w:val="1"/>
      <w:tblCellMar>
        <w:top w:w="15" w:type="dxa"/>
        <w:left w:w="15" w:type="dxa"/>
        <w:bottom w:w="15" w:type="dxa"/>
        <w:right w:w="15" w:type="dxa"/>
      </w:tblCellMar>
    </w:tblPr>
  </w:style>
  <w:style w:type="table" w:customStyle="1" w:styleId="afffffffa">
    <w:basedOn w:val="TableNormal"/>
    <w:tblPr>
      <w:tblStyleRowBandSize w:val="1"/>
      <w:tblStyleColBandSize w:val="1"/>
      <w:tblCellMar>
        <w:top w:w="15" w:type="dxa"/>
        <w:left w:w="15" w:type="dxa"/>
        <w:bottom w:w="15" w:type="dxa"/>
        <w:right w:w="15" w:type="dxa"/>
      </w:tblCellMar>
    </w:tblPr>
  </w:style>
  <w:style w:type="table" w:customStyle="1" w:styleId="afffffffb">
    <w:basedOn w:val="TableNormal"/>
    <w:tblPr>
      <w:tblStyleRowBandSize w:val="1"/>
      <w:tblStyleColBandSize w:val="1"/>
      <w:tblCellMar>
        <w:top w:w="15" w:type="dxa"/>
        <w:left w:w="15" w:type="dxa"/>
        <w:bottom w:w="15" w:type="dxa"/>
        <w:right w:w="15" w:type="dxa"/>
      </w:tblCellMar>
    </w:tblPr>
  </w:style>
  <w:style w:type="table" w:customStyle="1" w:styleId="afffffffc">
    <w:basedOn w:val="TableNormal"/>
    <w:tblPr>
      <w:tblStyleRowBandSize w:val="1"/>
      <w:tblStyleColBandSize w:val="1"/>
      <w:tblCellMar>
        <w:top w:w="15" w:type="dxa"/>
        <w:left w:w="15" w:type="dxa"/>
        <w:bottom w:w="15" w:type="dxa"/>
        <w:right w:w="15" w:type="dxa"/>
      </w:tblCellMar>
    </w:tblPr>
  </w:style>
  <w:style w:type="table" w:customStyle="1" w:styleId="afffffffd">
    <w:basedOn w:val="TableNormal"/>
    <w:tblPr>
      <w:tblStyleRowBandSize w:val="1"/>
      <w:tblStyleColBandSize w:val="1"/>
      <w:tblCellMar>
        <w:top w:w="15" w:type="dxa"/>
        <w:left w:w="15" w:type="dxa"/>
        <w:bottom w:w="15" w:type="dxa"/>
        <w:right w:w="15" w:type="dxa"/>
      </w:tblCellMar>
    </w:tblPr>
  </w:style>
  <w:style w:type="table" w:customStyle="1" w:styleId="afffffffe">
    <w:basedOn w:val="TableNormal"/>
    <w:tblPr>
      <w:tblStyleRowBandSize w:val="1"/>
      <w:tblStyleColBandSize w:val="1"/>
      <w:tblCellMar>
        <w:top w:w="15" w:type="dxa"/>
        <w:left w:w="15" w:type="dxa"/>
        <w:bottom w:w="15" w:type="dxa"/>
        <w:right w:w="15" w:type="dxa"/>
      </w:tblCellMar>
    </w:tblPr>
  </w:style>
  <w:style w:type="table" w:customStyle="1" w:styleId="affffffff">
    <w:basedOn w:val="TableNormal"/>
    <w:tblPr>
      <w:tblStyleRowBandSize w:val="1"/>
      <w:tblStyleColBandSize w:val="1"/>
      <w:tblCellMar>
        <w:top w:w="15" w:type="dxa"/>
        <w:left w:w="15" w:type="dxa"/>
        <w:bottom w:w="15" w:type="dxa"/>
        <w:right w:w="15" w:type="dxa"/>
      </w:tblCellMar>
    </w:tblPr>
  </w:style>
  <w:style w:type="table" w:customStyle="1" w:styleId="affffffff0">
    <w:basedOn w:val="TableNormal"/>
    <w:tblPr>
      <w:tblStyleRowBandSize w:val="1"/>
      <w:tblStyleColBandSize w:val="1"/>
      <w:tblCellMar>
        <w:top w:w="15" w:type="dxa"/>
        <w:left w:w="15" w:type="dxa"/>
        <w:bottom w:w="15" w:type="dxa"/>
        <w:right w:w="15" w:type="dxa"/>
      </w:tblCellMar>
    </w:tblPr>
  </w:style>
  <w:style w:type="table" w:customStyle="1" w:styleId="affffffff1">
    <w:basedOn w:val="TableNormal"/>
    <w:tblPr>
      <w:tblStyleRowBandSize w:val="1"/>
      <w:tblStyleColBandSize w:val="1"/>
      <w:tblCellMar>
        <w:top w:w="15" w:type="dxa"/>
        <w:left w:w="15" w:type="dxa"/>
        <w:bottom w:w="15" w:type="dxa"/>
        <w:right w:w="15" w:type="dxa"/>
      </w:tblCellMar>
    </w:tblPr>
  </w:style>
  <w:style w:type="table" w:customStyle="1" w:styleId="affffffff2">
    <w:basedOn w:val="TableNormal"/>
    <w:tblPr>
      <w:tblStyleRowBandSize w:val="1"/>
      <w:tblStyleColBandSize w:val="1"/>
      <w:tblCellMar>
        <w:top w:w="15" w:type="dxa"/>
        <w:left w:w="15" w:type="dxa"/>
        <w:bottom w:w="15" w:type="dxa"/>
        <w:right w:w="15" w:type="dxa"/>
      </w:tblCellMar>
    </w:tblPr>
  </w:style>
  <w:style w:type="character" w:customStyle="1" w:styleId="UnresolvedMention2">
    <w:name w:val="Unresolved Mention2"/>
    <w:basedOn w:val="DefaultParagraphFont"/>
    <w:uiPriority w:val="99"/>
    <w:semiHidden/>
    <w:unhideWhenUsed/>
    <w:rsid w:val="00757F49"/>
    <w:rPr>
      <w:color w:val="605E5C"/>
      <w:shd w:val="clear" w:color="auto" w:fill="E1DFDD"/>
    </w:rPr>
  </w:style>
  <w:style w:type="paragraph" w:customStyle="1" w:styleId="section-title">
    <w:name w:val="section-title"/>
    <w:basedOn w:val="Normal"/>
    <w:link w:val="section-titleChar"/>
    <w:autoRedefine/>
    <w:qFormat/>
    <w:rsid w:val="00DF7172"/>
    <w:pPr>
      <w:keepNext/>
      <w:tabs>
        <w:tab w:val="center" w:pos="4565"/>
      </w:tabs>
      <w:spacing w:before="200" w:after="200"/>
      <w:contextualSpacing/>
    </w:pPr>
    <w:rPr>
      <w:rFonts w:eastAsia="Arial" w:cs="Arial"/>
      <w:b/>
      <w:iCs/>
      <w:color w:val="000000"/>
      <w:sz w:val="22"/>
      <w:szCs w:val="20"/>
      <w:shd w:val="clear" w:color="auto" w:fill="FFFFFF"/>
      <w:lang w:val="es-AR"/>
    </w:rPr>
  </w:style>
  <w:style w:type="character" w:customStyle="1" w:styleId="section-titleChar">
    <w:name w:val="section-title Char"/>
    <w:basedOn w:val="DefaultParagraphFont"/>
    <w:link w:val="section-title"/>
    <w:rsid w:val="00DF7172"/>
    <w:rPr>
      <w:rFonts w:eastAsia="Arial" w:cs="Arial"/>
      <w:b/>
      <w:iCs/>
      <w:color w:val="000000"/>
      <w:sz w:val="22"/>
      <w:szCs w:val="20"/>
      <w:lang w:val="es-AR"/>
    </w:rPr>
  </w:style>
  <w:style w:type="character" w:customStyle="1" w:styleId="TitleChar">
    <w:name w:val="Title Char"/>
    <w:basedOn w:val="DefaultParagraphFont"/>
    <w:link w:val="Title"/>
    <w:rsid w:val="005D05A6"/>
    <w:rPr>
      <w:b/>
      <w:sz w:val="72"/>
      <w:szCs w:val="72"/>
      <w:lang w:eastAsia="en-GB"/>
    </w:rPr>
  </w:style>
  <w:style w:type="character" w:customStyle="1" w:styleId="UnresolvedMention20">
    <w:name w:val="Unresolved Mention2"/>
    <w:basedOn w:val="DefaultParagraphFont"/>
    <w:uiPriority w:val="99"/>
    <w:semiHidden/>
    <w:unhideWhenUsed/>
    <w:rsid w:val="005D05A6"/>
    <w:rPr>
      <w:color w:val="605E5C"/>
      <w:shd w:val="clear" w:color="auto" w:fill="E1DFDD"/>
    </w:rPr>
  </w:style>
  <w:style w:type="character" w:customStyle="1" w:styleId="SubtitleChar">
    <w:name w:val="Subtitle Char"/>
    <w:basedOn w:val="DefaultParagraphFont"/>
    <w:link w:val="Subtitle"/>
    <w:rsid w:val="005D05A6"/>
    <w:rPr>
      <w:rFonts w:ascii="Arial" w:eastAsia="Georgia" w:hAnsi="Arial" w:cs="Georgia"/>
      <w:b/>
      <w:sz w:val="22"/>
      <w:szCs w:val="48"/>
      <w:lang w:eastAsia="en-GB"/>
    </w:rPr>
  </w:style>
  <w:style w:type="paragraph" w:styleId="FootnoteText">
    <w:name w:val="footnote text"/>
    <w:basedOn w:val="Normal"/>
    <w:link w:val="FootnoteTextChar"/>
    <w:uiPriority w:val="99"/>
    <w:semiHidden/>
    <w:unhideWhenUsed/>
    <w:rsid w:val="00F145EE"/>
    <w:rPr>
      <w:rFonts w:ascii="Calibri" w:hAnsi="Calibri"/>
      <w:szCs w:val="20"/>
      <w:lang w:eastAsia="en-GB"/>
    </w:rPr>
  </w:style>
  <w:style w:type="character" w:customStyle="1" w:styleId="FootnoteTextChar">
    <w:name w:val="Footnote Text Char"/>
    <w:basedOn w:val="DefaultParagraphFont"/>
    <w:link w:val="FootnoteText"/>
    <w:uiPriority w:val="99"/>
    <w:semiHidden/>
    <w:rsid w:val="00F145EE"/>
    <w:rPr>
      <w:rFonts w:ascii="Calibri" w:hAnsi="Calibri"/>
      <w:sz w:val="20"/>
      <w:szCs w:val="20"/>
      <w:lang w:eastAsia="en-GB"/>
    </w:rPr>
  </w:style>
  <w:style w:type="paragraph" w:customStyle="1" w:styleId="ep-wysiwigparagraph">
    <w:name w:val="ep-wysiwig_paragraph"/>
    <w:basedOn w:val="Normal"/>
    <w:rsid w:val="00F145EE"/>
    <w:pPr>
      <w:spacing w:before="100" w:beforeAutospacing="1" w:after="100" w:afterAutospacing="1"/>
    </w:pPr>
    <w:rPr>
      <w:rFonts w:ascii="Times New Roman" w:eastAsia="Times New Roman" w:hAnsi="Times New Roman" w:cs="Times New Roman"/>
      <w:sz w:val="24"/>
      <w:lang w:eastAsia="en-GB"/>
    </w:rPr>
  </w:style>
  <w:style w:type="character" w:styleId="Strong">
    <w:name w:val="Strong"/>
    <w:basedOn w:val="DefaultParagraphFont"/>
    <w:uiPriority w:val="22"/>
    <w:qFormat/>
    <w:rsid w:val="00F145EE"/>
    <w:rPr>
      <w:b/>
      <w:bCs/>
    </w:rPr>
  </w:style>
  <w:style w:type="character" w:customStyle="1" w:styleId="UnresolvedMention3">
    <w:name w:val="Unresolved Mention3"/>
    <w:basedOn w:val="DefaultParagraphFont"/>
    <w:uiPriority w:val="99"/>
    <w:semiHidden/>
    <w:unhideWhenUsed/>
    <w:rsid w:val="0032407C"/>
    <w:rPr>
      <w:color w:val="605E5C"/>
      <w:shd w:val="clear" w:color="auto" w:fill="E1DFDD"/>
    </w:rPr>
  </w:style>
  <w:style w:type="paragraph" w:customStyle="1" w:styleId="Indicator">
    <w:name w:val="Indicator"/>
    <w:basedOn w:val="Heading3"/>
    <w:link w:val="IndicatorChar"/>
    <w:qFormat/>
    <w:rsid w:val="00DF7172"/>
    <w:pPr>
      <w:keepNext/>
      <w:keepLines/>
      <w:pageBreakBefore w:val="0"/>
      <w:spacing w:before="240" w:after="120" w:line="288" w:lineRule="auto"/>
      <w:jc w:val="both"/>
    </w:pPr>
    <w:rPr>
      <w:color w:val="auto"/>
      <w:sz w:val="28"/>
      <w:szCs w:val="20"/>
    </w:rPr>
  </w:style>
  <w:style w:type="character" w:customStyle="1" w:styleId="IndicatorChar">
    <w:name w:val="Indicator Char"/>
    <w:basedOn w:val="DefaultParagraphFont"/>
    <w:link w:val="Indicator"/>
    <w:rsid w:val="00DF7172"/>
    <w:rPr>
      <w:rFonts w:eastAsia="Arial" w:cs="Arial"/>
      <w:b/>
      <w:sz w:val="28"/>
      <w:szCs w:val="20"/>
    </w:rPr>
  </w:style>
  <w:style w:type="paragraph" w:customStyle="1" w:styleId="Dimension">
    <w:name w:val="Dimension"/>
    <w:basedOn w:val="Heading4"/>
    <w:link w:val="DimensionChar"/>
    <w:qFormat/>
    <w:rsid w:val="00DF7172"/>
    <w:pPr>
      <w:keepNext/>
      <w:keepLines/>
      <w:pageBreakBefore/>
      <w:spacing w:after="120" w:line="288" w:lineRule="auto"/>
      <w:contextualSpacing w:val="0"/>
      <w:jc w:val="both"/>
    </w:pPr>
    <w:rPr>
      <w:rFonts w:eastAsia="Arial"/>
      <w:iCs w:val="0"/>
      <w:sz w:val="24"/>
      <w:szCs w:val="20"/>
      <w:lang w:eastAsia="fr-CH"/>
    </w:rPr>
  </w:style>
  <w:style w:type="character" w:customStyle="1" w:styleId="DimensionChar">
    <w:name w:val="Dimension Char"/>
    <w:basedOn w:val="DefaultParagraphFont"/>
    <w:link w:val="Dimension"/>
    <w:rsid w:val="00DF7172"/>
    <w:rPr>
      <w:rFonts w:eastAsia="Arial" w:cs="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28">
      <w:bodyDiv w:val="1"/>
      <w:marLeft w:val="0"/>
      <w:marRight w:val="0"/>
      <w:marTop w:val="0"/>
      <w:marBottom w:val="0"/>
      <w:divBdr>
        <w:top w:val="none" w:sz="0" w:space="0" w:color="auto"/>
        <w:left w:val="none" w:sz="0" w:space="0" w:color="auto"/>
        <w:bottom w:val="none" w:sz="0" w:space="0" w:color="auto"/>
        <w:right w:val="none" w:sz="0" w:space="0" w:color="auto"/>
      </w:divBdr>
    </w:div>
    <w:div w:id="85732432">
      <w:bodyDiv w:val="1"/>
      <w:marLeft w:val="0"/>
      <w:marRight w:val="0"/>
      <w:marTop w:val="0"/>
      <w:marBottom w:val="0"/>
      <w:divBdr>
        <w:top w:val="none" w:sz="0" w:space="0" w:color="auto"/>
        <w:left w:val="none" w:sz="0" w:space="0" w:color="auto"/>
        <w:bottom w:val="none" w:sz="0" w:space="0" w:color="auto"/>
        <w:right w:val="none" w:sz="0" w:space="0" w:color="auto"/>
      </w:divBdr>
    </w:div>
    <w:div w:id="100152767">
      <w:bodyDiv w:val="1"/>
      <w:marLeft w:val="0"/>
      <w:marRight w:val="0"/>
      <w:marTop w:val="0"/>
      <w:marBottom w:val="0"/>
      <w:divBdr>
        <w:top w:val="none" w:sz="0" w:space="0" w:color="auto"/>
        <w:left w:val="none" w:sz="0" w:space="0" w:color="auto"/>
        <w:bottom w:val="none" w:sz="0" w:space="0" w:color="auto"/>
        <w:right w:val="none" w:sz="0" w:space="0" w:color="auto"/>
      </w:divBdr>
    </w:div>
    <w:div w:id="107698573">
      <w:bodyDiv w:val="1"/>
      <w:marLeft w:val="0"/>
      <w:marRight w:val="0"/>
      <w:marTop w:val="0"/>
      <w:marBottom w:val="0"/>
      <w:divBdr>
        <w:top w:val="none" w:sz="0" w:space="0" w:color="auto"/>
        <w:left w:val="none" w:sz="0" w:space="0" w:color="auto"/>
        <w:bottom w:val="none" w:sz="0" w:space="0" w:color="auto"/>
        <w:right w:val="none" w:sz="0" w:space="0" w:color="auto"/>
      </w:divBdr>
    </w:div>
    <w:div w:id="131561768">
      <w:bodyDiv w:val="1"/>
      <w:marLeft w:val="0"/>
      <w:marRight w:val="0"/>
      <w:marTop w:val="0"/>
      <w:marBottom w:val="0"/>
      <w:divBdr>
        <w:top w:val="none" w:sz="0" w:space="0" w:color="auto"/>
        <w:left w:val="none" w:sz="0" w:space="0" w:color="auto"/>
        <w:bottom w:val="none" w:sz="0" w:space="0" w:color="auto"/>
        <w:right w:val="none" w:sz="0" w:space="0" w:color="auto"/>
      </w:divBdr>
    </w:div>
    <w:div w:id="145514607">
      <w:bodyDiv w:val="1"/>
      <w:marLeft w:val="0"/>
      <w:marRight w:val="0"/>
      <w:marTop w:val="0"/>
      <w:marBottom w:val="0"/>
      <w:divBdr>
        <w:top w:val="none" w:sz="0" w:space="0" w:color="auto"/>
        <w:left w:val="none" w:sz="0" w:space="0" w:color="auto"/>
        <w:bottom w:val="none" w:sz="0" w:space="0" w:color="auto"/>
        <w:right w:val="none" w:sz="0" w:space="0" w:color="auto"/>
      </w:divBdr>
    </w:div>
    <w:div w:id="183519986">
      <w:bodyDiv w:val="1"/>
      <w:marLeft w:val="0"/>
      <w:marRight w:val="0"/>
      <w:marTop w:val="0"/>
      <w:marBottom w:val="0"/>
      <w:divBdr>
        <w:top w:val="none" w:sz="0" w:space="0" w:color="auto"/>
        <w:left w:val="none" w:sz="0" w:space="0" w:color="auto"/>
        <w:bottom w:val="none" w:sz="0" w:space="0" w:color="auto"/>
        <w:right w:val="none" w:sz="0" w:space="0" w:color="auto"/>
      </w:divBdr>
    </w:div>
    <w:div w:id="190463311">
      <w:bodyDiv w:val="1"/>
      <w:marLeft w:val="0"/>
      <w:marRight w:val="0"/>
      <w:marTop w:val="0"/>
      <w:marBottom w:val="0"/>
      <w:divBdr>
        <w:top w:val="none" w:sz="0" w:space="0" w:color="auto"/>
        <w:left w:val="none" w:sz="0" w:space="0" w:color="auto"/>
        <w:bottom w:val="none" w:sz="0" w:space="0" w:color="auto"/>
        <w:right w:val="none" w:sz="0" w:space="0" w:color="auto"/>
      </w:divBdr>
    </w:div>
    <w:div w:id="233592908">
      <w:bodyDiv w:val="1"/>
      <w:marLeft w:val="0"/>
      <w:marRight w:val="0"/>
      <w:marTop w:val="0"/>
      <w:marBottom w:val="0"/>
      <w:divBdr>
        <w:top w:val="none" w:sz="0" w:space="0" w:color="auto"/>
        <w:left w:val="none" w:sz="0" w:space="0" w:color="auto"/>
        <w:bottom w:val="none" w:sz="0" w:space="0" w:color="auto"/>
        <w:right w:val="none" w:sz="0" w:space="0" w:color="auto"/>
      </w:divBdr>
    </w:div>
    <w:div w:id="242687943">
      <w:bodyDiv w:val="1"/>
      <w:marLeft w:val="0"/>
      <w:marRight w:val="0"/>
      <w:marTop w:val="0"/>
      <w:marBottom w:val="0"/>
      <w:divBdr>
        <w:top w:val="none" w:sz="0" w:space="0" w:color="auto"/>
        <w:left w:val="none" w:sz="0" w:space="0" w:color="auto"/>
        <w:bottom w:val="none" w:sz="0" w:space="0" w:color="auto"/>
        <w:right w:val="none" w:sz="0" w:space="0" w:color="auto"/>
      </w:divBdr>
    </w:div>
    <w:div w:id="245381654">
      <w:bodyDiv w:val="1"/>
      <w:marLeft w:val="0"/>
      <w:marRight w:val="0"/>
      <w:marTop w:val="0"/>
      <w:marBottom w:val="0"/>
      <w:divBdr>
        <w:top w:val="none" w:sz="0" w:space="0" w:color="auto"/>
        <w:left w:val="none" w:sz="0" w:space="0" w:color="auto"/>
        <w:bottom w:val="none" w:sz="0" w:space="0" w:color="auto"/>
        <w:right w:val="none" w:sz="0" w:space="0" w:color="auto"/>
      </w:divBdr>
    </w:div>
    <w:div w:id="287398021">
      <w:bodyDiv w:val="1"/>
      <w:marLeft w:val="0"/>
      <w:marRight w:val="0"/>
      <w:marTop w:val="0"/>
      <w:marBottom w:val="0"/>
      <w:divBdr>
        <w:top w:val="none" w:sz="0" w:space="0" w:color="auto"/>
        <w:left w:val="none" w:sz="0" w:space="0" w:color="auto"/>
        <w:bottom w:val="none" w:sz="0" w:space="0" w:color="auto"/>
        <w:right w:val="none" w:sz="0" w:space="0" w:color="auto"/>
      </w:divBdr>
    </w:div>
    <w:div w:id="331180368">
      <w:bodyDiv w:val="1"/>
      <w:marLeft w:val="0"/>
      <w:marRight w:val="0"/>
      <w:marTop w:val="0"/>
      <w:marBottom w:val="0"/>
      <w:divBdr>
        <w:top w:val="none" w:sz="0" w:space="0" w:color="auto"/>
        <w:left w:val="none" w:sz="0" w:space="0" w:color="auto"/>
        <w:bottom w:val="none" w:sz="0" w:space="0" w:color="auto"/>
        <w:right w:val="none" w:sz="0" w:space="0" w:color="auto"/>
      </w:divBdr>
    </w:div>
    <w:div w:id="396826727">
      <w:bodyDiv w:val="1"/>
      <w:marLeft w:val="0"/>
      <w:marRight w:val="0"/>
      <w:marTop w:val="0"/>
      <w:marBottom w:val="0"/>
      <w:divBdr>
        <w:top w:val="none" w:sz="0" w:space="0" w:color="auto"/>
        <w:left w:val="none" w:sz="0" w:space="0" w:color="auto"/>
        <w:bottom w:val="none" w:sz="0" w:space="0" w:color="auto"/>
        <w:right w:val="none" w:sz="0" w:space="0" w:color="auto"/>
      </w:divBdr>
    </w:div>
    <w:div w:id="426385739">
      <w:bodyDiv w:val="1"/>
      <w:marLeft w:val="0"/>
      <w:marRight w:val="0"/>
      <w:marTop w:val="0"/>
      <w:marBottom w:val="0"/>
      <w:divBdr>
        <w:top w:val="none" w:sz="0" w:space="0" w:color="auto"/>
        <w:left w:val="none" w:sz="0" w:space="0" w:color="auto"/>
        <w:bottom w:val="none" w:sz="0" w:space="0" w:color="auto"/>
        <w:right w:val="none" w:sz="0" w:space="0" w:color="auto"/>
      </w:divBdr>
    </w:div>
    <w:div w:id="451293471">
      <w:bodyDiv w:val="1"/>
      <w:marLeft w:val="0"/>
      <w:marRight w:val="0"/>
      <w:marTop w:val="0"/>
      <w:marBottom w:val="0"/>
      <w:divBdr>
        <w:top w:val="none" w:sz="0" w:space="0" w:color="auto"/>
        <w:left w:val="none" w:sz="0" w:space="0" w:color="auto"/>
        <w:bottom w:val="none" w:sz="0" w:space="0" w:color="auto"/>
        <w:right w:val="none" w:sz="0" w:space="0" w:color="auto"/>
      </w:divBdr>
    </w:div>
    <w:div w:id="489255378">
      <w:bodyDiv w:val="1"/>
      <w:marLeft w:val="0"/>
      <w:marRight w:val="0"/>
      <w:marTop w:val="0"/>
      <w:marBottom w:val="0"/>
      <w:divBdr>
        <w:top w:val="none" w:sz="0" w:space="0" w:color="auto"/>
        <w:left w:val="none" w:sz="0" w:space="0" w:color="auto"/>
        <w:bottom w:val="none" w:sz="0" w:space="0" w:color="auto"/>
        <w:right w:val="none" w:sz="0" w:space="0" w:color="auto"/>
      </w:divBdr>
    </w:div>
    <w:div w:id="515585256">
      <w:bodyDiv w:val="1"/>
      <w:marLeft w:val="0"/>
      <w:marRight w:val="0"/>
      <w:marTop w:val="0"/>
      <w:marBottom w:val="0"/>
      <w:divBdr>
        <w:top w:val="none" w:sz="0" w:space="0" w:color="auto"/>
        <w:left w:val="none" w:sz="0" w:space="0" w:color="auto"/>
        <w:bottom w:val="none" w:sz="0" w:space="0" w:color="auto"/>
        <w:right w:val="none" w:sz="0" w:space="0" w:color="auto"/>
      </w:divBdr>
    </w:div>
    <w:div w:id="532229078">
      <w:bodyDiv w:val="1"/>
      <w:marLeft w:val="0"/>
      <w:marRight w:val="0"/>
      <w:marTop w:val="0"/>
      <w:marBottom w:val="0"/>
      <w:divBdr>
        <w:top w:val="none" w:sz="0" w:space="0" w:color="auto"/>
        <w:left w:val="none" w:sz="0" w:space="0" w:color="auto"/>
        <w:bottom w:val="none" w:sz="0" w:space="0" w:color="auto"/>
        <w:right w:val="none" w:sz="0" w:space="0" w:color="auto"/>
      </w:divBdr>
    </w:div>
    <w:div w:id="590310122">
      <w:bodyDiv w:val="1"/>
      <w:marLeft w:val="0"/>
      <w:marRight w:val="0"/>
      <w:marTop w:val="0"/>
      <w:marBottom w:val="0"/>
      <w:divBdr>
        <w:top w:val="none" w:sz="0" w:space="0" w:color="auto"/>
        <w:left w:val="none" w:sz="0" w:space="0" w:color="auto"/>
        <w:bottom w:val="none" w:sz="0" w:space="0" w:color="auto"/>
        <w:right w:val="none" w:sz="0" w:space="0" w:color="auto"/>
      </w:divBdr>
    </w:div>
    <w:div w:id="615600510">
      <w:bodyDiv w:val="1"/>
      <w:marLeft w:val="0"/>
      <w:marRight w:val="0"/>
      <w:marTop w:val="0"/>
      <w:marBottom w:val="0"/>
      <w:divBdr>
        <w:top w:val="none" w:sz="0" w:space="0" w:color="auto"/>
        <w:left w:val="none" w:sz="0" w:space="0" w:color="auto"/>
        <w:bottom w:val="none" w:sz="0" w:space="0" w:color="auto"/>
        <w:right w:val="none" w:sz="0" w:space="0" w:color="auto"/>
      </w:divBdr>
    </w:div>
    <w:div w:id="691151196">
      <w:bodyDiv w:val="1"/>
      <w:marLeft w:val="0"/>
      <w:marRight w:val="0"/>
      <w:marTop w:val="0"/>
      <w:marBottom w:val="0"/>
      <w:divBdr>
        <w:top w:val="none" w:sz="0" w:space="0" w:color="auto"/>
        <w:left w:val="none" w:sz="0" w:space="0" w:color="auto"/>
        <w:bottom w:val="none" w:sz="0" w:space="0" w:color="auto"/>
        <w:right w:val="none" w:sz="0" w:space="0" w:color="auto"/>
      </w:divBdr>
    </w:div>
    <w:div w:id="721832433">
      <w:bodyDiv w:val="1"/>
      <w:marLeft w:val="0"/>
      <w:marRight w:val="0"/>
      <w:marTop w:val="0"/>
      <w:marBottom w:val="0"/>
      <w:divBdr>
        <w:top w:val="none" w:sz="0" w:space="0" w:color="auto"/>
        <w:left w:val="none" w:sz="0" w:space="0" w:color="auto"/>
        <w:bottom w:val="none" w:sz="0" w:space="0" w:color="auto"/>
        <w:right w:val="none" w:sz="0" w:space="0" w:color="auto"/>
      </w:divBdr>
    </w:div>
    <w:div w:id="847721122">
      <w:bodyDiv w:val="1"/>
      <w:marLeft w:val="0"/>
      <w:marRight w:val="0"/>
      <w:marTop w:val="0"/>
      <w:marBottom w:val="0"/>
      <w:divBdr>
        <w:top w:val="none" w:sz="0" w:space="0" w:color="auto"/>
        <w:left w:val="none" w:sz="0" w:space="0" w:color="auto"/>
        <w:bottom w:val="none" w:sz="0" w:space="0" w:color="auto"/>
        <w:right w:val="none" w:sz="0" w:space="0" w:color="auto"/>
      </w:divBdr>
    </w:div>
    <w:div w:id="1032389629">
      <w:bodyDiv w:val="1"/>
      <w:marLeft w:val="0"/>
      <w:marRight w:val="0"/>
      <w:marTop w:val="0"/>
      <w:marBottom w:val="0"/>
      <w:divBdr>
        <w:top w:val="none" w:sz="0" w:space="0" w:color="auto"/>
        <w:left w:val="none" w:sz="0" w:space="0" w:color="auto"/>
        <w:bottom w:val="none" w:sz="0" w:space="0" w:color="auto"/>
        <w:right w:val="none" w:sz="0" w:space="0" w:color="auto"/>
      </w:divBdr>
    </w:div>
    <w:div w:id="1034505729">
      <w:bodyDiv w:val="1"/>
      <w:marLeft w:val="0"/>
      <w:marRight w:val="0"/>
      <w:marTop w:val="0"/>
      <w:marBottom w:val="0"/>
      <w:divBdr>
        <w:top w:val="none" w:sz="0" w:space="0" w:color="auto"/>
        <w:left w:val="none" w:sz="0" w:space="0" w:color="auto"/>
        <w:bottom w:val="none" w:sz="0" w:space="0" w:color="auto"/>
        <w:right w:val="none" w:sz="0" w:space="0" w:color="auto"/>
      </w:divBdr>
    </w:div>
    <w:div w:id="1034772123">
      <w:bodyDiv w:val="1"/>
      <w:marLeft w:val="0"/>
      <w:marRight w:val="0"/>
      <w:marTop w:val="0"/>
      <w:marBottom w:val="0"/>
      <w:divBdr>
        <w:top w:val="none" w:sz="0" w:space="0" w:color="auto"/>
        <w:left w:val="none" w:sz="0" w:space="0" w:color="auto"/>
        <w:bottom w:val="none" w:sz="0" w:space="0" w:color="auto"/>
        <w:right w:val="none" w:sz="0" w:space="0" w:color="auto"/>
      </w:divBdr>
    </w:div>
    <w:div w:id="1043599082">
      <w:bodyDiv w:val="1"/>
      <w:marLeft w:val="0"/>
      <w:marRight w:val="0"/>
      <w:marTop w:val="0"/>
      <w:marBottom w:val="0"/>
      <w:divBdr>
        <w:top w:val="none" w:sz="0" w:space="0" w:color="auto"/>
        <w:left w:val="none" w:sz="0" w:space="0" w:color="auto"/>
        <w:bottom w:val="none" w:sz="0" w:space="0" w:color="auto"/>
        <w:right w:val="none" w:sz="0" w:space="0" w:color="auto"/>
      </w:divBdr>
    </w:div>
    <w:div w:id="1081564244">
      <w:bodyDiv w:val="1"/>
      <w:marLeft w:val="0"/>
      <w:marRight w:val="0"/>
      <w:marTop w:val="0"/>
      <w:marBottom w:val="0"/>
      <w:divBdr>
        <w:top w:val="none" w:sz="0" w:space="0" w:color="auto"/>
        <w:left w:val="none" w:sz="0" w:space="0" w:color="auto"/>
        <w:bottom w:val="none" w:sz="0" w:space="0" w:color="auto"/>
        <w:right w:val="none" w:sz="0" w:space="0" w:color="auto"/>
      </w:divBdr>
    </w:div>
    <w:div w:id="1082609527">
      <w:bodyDiv w:val="1"/>
      <w:marLeft w:val="0"/>
      <w:marRight w:val="0"/>
      <w:marTop w:val="0"/>
      <w:marBottom w:val="0"/>
      <w:divBdr>
        <w:top w:val="none" w:sz="0" w:space="0" w:color="auto"/>
        <w:left w:val="none" w:sz="0" w:space="0" w:color="auto"/>
        <w:bottom w:val="none" w:sz="0" w:space="0" w:color="auto"/>
        <w:right w:val="none" w:sz="0" w:space="0" w:color="auto"/>
      </w:divBdr>
    </w:div>
    <w:div w:id="1133984563">
      <w:bodyDiv w:val="1"/>
      <w:marLeft w:val="0"/>
      <w:marRight w:val="0"/>
      <w:marTop w:val="0"/>
      <w:marBottom w:val="0"/>
      <w:divBdr>
        <w:top w:val="none" w:sz="0" w:space="0" w:color="auto"/>
        <w:left w:val="none" w:sz="0" w:space="0" w:color="auto"/>
        <w:bottom w:val="none" w:sz="0" w:space="0" w:color="auto"/>
        <w:right w:val="none" w:sz="0" w:space="0" w:color="auto"/>
      </w:divBdr>
    </w:div>
    <w:div w:id="1146120065">
      <w:bodyDiv w:val="1"/>
      <w:marLeft w:val="0"/>
      <w:marRight w:val="0"/>
      <w:marTop w:val="0"/>
      <w:marBottom w:val="0"/>
      <w:divBdr>
        <w:top w:val="none" w:sz="0" w:space="0" w:color="auto"/>
        <w:left w:val="none" w:sz="0" w:space="0" w:color="auto"/>
        <w:bottom w:val="none" w:sz="0" w:space="0" w:color="auto"/>
        <w:right w:val="none" w:sz="0" w:space="0" w:color="auto"/>
      </w:divBdr>
    </w:div>
    <w:div w:id="1150292961">
      <w:bodyDiv w:val="1"/>
      <w:marLeft w:val="0"/>
      <w:marRight w:val="0"/>
      <w:marTop w:val="0"/>
      <w:marBottom w:val="0"/>
      <w:divBdr>
        <w:top w:val="none" w:sz="0" w:space="0" w:color="auto"/>
        <w:left w:val="none" w:sz="0" w:space="0" w:color="auto"/>
        <w:bottom w:val="none" w:sz="0" w:space="0" w:color="auto"/>
        <w:right w:val="none" w:sz="0" w:space="0" w:color="auto"/>
      </w:divBdr>
    </w:div>
    <w:div w:id="1206521624">
      <w:bodyDiv w:val="1"/>
      <w:marLeft w:val="0"/>
      <w:marRight w:val="0"/>
      <w:marTop w:val="0"/>
      <w:marBottom w:val="0"/>
      <w:divBdr>
        <w:top w:val="none" w:sz="0" w:space="0" w:color="auto"/>
        <w:left w:val="none" w:sz="0" w:space="0" w:color="auto"/>
        <w:bottom w:val="none" w:sz="0" w:space="0" w:color="auto"/>
        <w:right w:val="none" w:sz="0" w:space="0" w:color="auto"/>
      </w:divBdr>
    </w:div>
    <w:div w:id="1234780114">
      <w:bodyDiv w:val="1"/>
      <w:marLeft w:val="0"/>
      <w:marRight w:val="0"/>
      <w:marTop w:val="0"/>
      <w:marBottom w:val="0"/>
      <w:divBdr>
        <w:top w:val="none" w:sz="0" w:space="0" w:color="auto"/>
        <w:left w:val="none" w:sz="0" w:space="0" w:color="auto"/>
        <w:bottom w:val="none" w:sz="0" w:space="0" w:color="auto"/>
        <w:right w:val="none" w:sz="0" w:space="0" w:color="auto"/>
      </w:divBdr>
    </w:div>
    <w:div w:id="1294560532">
      <w:bodyDiv w:val="1"/>
      <w:marLeft w:val="0"/>
      <w:marRight w:val="0"/>
      <w:marTop w:val="0"/>
      <w:marBottom w:val="0"/>
      <w:divBdr>
        <w:top w:val="none" w:sz="0" w:space="0" w:color="auto"/>
        <w:left w:val="none" w:sz="0" w:space="0" w:color="auto"/>
        <w:bottom w:val="none" w:sz="0" w:space="0" w:color="auto"/>
        <w:right w:val="none" w:sz="0" w:space="0" w:color="auto"/>
      </w:divBdr>
    </w:div>
    <w:div w:id="1426147005">
      <w:bodyDiv w:val="1"/>
      <w:marLeft w:val="0"/>
      <w:marRight w:val="0"/>
      <w:marTop w:val="0"/>
      <w:marBottom w:val="0"/>
      <w:divBdr>
        <w:top w:val="none" w:sz="0" w:space="0" w:color="auto"/>
        <w:left w:val="none" w:sz="0" w:space="0" w:color="auto"/>
        <w:bottom w:val="none" w:sz="0" w:space="0" w:color="auto"/>
        <w:right w:val="none" w:sz="0" w:space="0" w:color="auto"/>
      </w:divBdr>
    </w:div>
    <w:div w:id="1431386879">
      <w:bodyDiv w:val="1"/>
      <w:marLeft w:val="0"/>
      <w:marRight w:val="0"/>
      <w:marTop w:val="0"/>
      <w:marBottom w:val="0"/>
      <w:divBdr>
        <w:top w:val="none" w:sz="0" w:space="0" w:color="auto"/>
        <w:left w:val="none" w:sz="0" w:space="0" w:color="auto"/>
        <w:bottom w:val="none" w:sz="0" w:space="0" w:color="auto"/>
        <w:right w:val="none" w:sz="0" w:space="0" w:color="auto"/>
      </w:divBdr>
    </w:div>
    <w:div w:id="1439524952">
      <w:bodyDiv w:val="1"/>
      <w:marLeft w:val="0"/>
      <w:marRight w:val="0"/>
      <w:marTop w:val="0"/>
      <w:marBottom w:val="0"/>
      <w:divBdr>
        <w:top w:val="none" w:sz="0" w:space="0" w:color="auto"/>
        <w:left w:val="none" w:sz="0" w:space="0" w:color="auto"/>
        <w:bottom w:val="none" w:sz="0" w:space="0" w:color="auto"/>
        <w:right w:val="none" w:sz="0" w:space="0" w:color="auto"/>
      </w:divBdr>
    </w:div>
    <w:div w:id="1469594475">
      <w:bodyDiv w:val="1"/>
      <w:marLeft w:val="0"/>
      <w:marRight w:val="0"/>
      <w:marTop w:val="0"/>
      <w:marBottom w:val="0"/>
      <w:divBdr>
        <w:top w:val="none" w:sz="0" w:space="0" w:color="auto"/>
        <w:left w:val="none" w:sz="0" w:space="0" w:color="auto"/>
        <w:bottom w:val="none" w:sz="0" w:space="0" w:color="auto"/>
        <w:right w:val="none" w:sz="0" w:space="0" w:color="auto"/>
      </w:divBdr>
    </w:div>
    <w:div w:id="1520705699">
      <w:bodyDiv w:val="1"/>
      <w:marLeft w:val="0"/>
      <w:marRight w:val="0"/>
      <w:marTop w:val="0"/>
      <w:marBottom w:val="0"/>
      <w:divBdr>
        <w:top w:val="none" w:sz="0" w:space="0" w:color="auto"/>
        <w:left w:val="none" w:sz="0" w:space="0" w:color="auto"/>
        <w:bottom w:val="none" w:sz="0" w:space="0" w:color="auto"/>
        <w:right w:val="none" w:sz="0" w:space="0" w:color="auto"/>
      </w:divBdr>
    </w:div>
    <w:div w:id="1540434800">
      <w:bodyDiv w:val="1"/>
      <w:marLeft w:val="0"/>
      <w:marRight w:val="0"/>
      <w:marTop w:val="0"/>
      <w:marBottom w:val="0"/>
      <w:divBdr>
        <w:top w:val="none" w:sz="0" w:space="0" w:color="auto"/>
        <w:left w:val="none" w:sz="0" w:space="0" w:color="auto"/>
        <w:bottom w:val="none" w:sz="0" w:space="0" w:color="auto"/>
        <w:right w:val="none" w:sz="0" w:space="0" w:color="auto"/>
      </w:divBdr>
    </w:div>
    <w:div w:id="1542479441">
      <w:bodyDiv w:val="1"/>
      <w:marLeft w:val="0"/>
      <w:marRight w:val="0"/>
      <w:marTop w:val="0"/>
      <w:marBottom w:val="0"/>
      <w:divBdr>
        <w:top w:val="none" w:sz="0" w:space="0" w:color="auto"/>
        <w:left w:val="none" w:sz="0" w:space="0" w:color="auto"/>
        <w:bottom w:val="none" w:sz="0" w:space="0" w:color="auto"/>
        <w:right w:val="none" w:sz="0" w:space="0" w:color="auto"/>
      </w:divBdr>
    </w:div>
    <w:div w:id="1653024543">
      <w:bodyDiv w:val="1"/>
      <w:marLeft w:val="0"/>
      <w:marRight w:val="0"/>
      <w:marTop w:val="0"/>
      <w:marBottom w:val="0"/>
      <w:divBdr>
        <w:top w:val="none" w:sz="0" w:space="0" w:color="auto"/>
        <w:left w:val="none" w:sz="0" w:space="0" w:color="auto"/>
        <w:bottom w:val="none" w:sz="0" w:space="0" w:color="auto"/>
        <w:right w:val="none" w:sz="0" w:space="0" w:color="auto"/>
      </w:divBdr>
    </w:div>
    <w:div w:id="1690790798">
      <w:bodyDiv w:val="1"/>
      <w:marLeft w:val="0"/>
      <w:marRight w:val="0"/>
      <w:marTop w:val="0"/>
      <w:marBottom w:val="0"/>
      <w:divBdr>
        <w:top w:val="none" w:sz="0" w:space="0" w:color="auto"/>
        <w:left w:val="none" w:sz="0" w:space="0" w:color="auto"/>
        <w:bottom w:val="none" w:sz="0" w:space="0" w:color="auto"/>
        <w:right w:val="none" w:sz="0" w:space="0" w:color="auto"/>
      </w:divBdr>
    </w:div>
    <w:div w:id="1703751688">
      <w:bodyDiv w:val="1"/>
      <w:marLeft w:val="0"/>
      <w:marRight w:val="0"/>
      <w:marTop w:val="0"/>
      <w:marBottom w:val="0"/>
      <w:divBdr>
        <w:top w:val="none" w:sz="0" w:space="0" w:color="auto"/>
        <w:left w:val="none" w:sz="0" w:space="0" w:color="auto"/>
        <w:bottom w:val="none" w:sz="0" w:space="0" w:color="auto"/>
        <w:right w:val="none" w:sz="0" w:space="0" w:color="auto"/>
      </w:divBdr>
    </w:div>
    <w:div w:id="1708988988">
      <w:bodyDiv w:val="1"/>
      <w:marLeft w:val="0"/>
      <w:marRight w:val="0"/>
      <w:marTop w:val="0"/>
      <w:marBottom w:val="0"/>
      <w:divBdr>
        <w:top w:val="none" w:sz="0" w:space="0" w:color="auto"/>
        <w:left w:val="none" w:sz="0" w:space="0" w:color="auto"/>
        <w:bottom w:val="none" w:sz="0" w:space="0" w:color="auto"/>
        <w:right w:val="none" w:sz="0" w:space="0" w:color="auto"/>
      </w:divBdr>
    </w:div>
    <w:div w:id="1709527755">
      <w:bodyDiv w:val="1"/>
      <w:marLeft w:val="0"/>
      <w:marRight w:val="0"/>
      <w:marTop w:val="0"/>
      <w:marBottom w:val="0"/>
      <w:divBdr>
        <w:top w:val="none" w:sz="0" w:space="0" w:color="auto"/>
        <w:left w:val="none" w:sz="0" w:space="0" w:color="auto"/>
        <w:bottom w:val="none" w:sz="0" w:space="0" w:color="auto"/>
        <w:right w:val="none" w:sz="0" w:space="0" w:color="auto"/>
      </w:divBdr>
    </w:div>
    <w:div w:id="1716585042">
      <w:bodyDiv w:val="1"/>
      <w:marLeft w:val="0"/>
      <w:marRight w:val="0"/>
      <w:marTop w:val="0"/>
      <w:marBottom w:val="0"/>
      <w:divBdr>
        <w:top w:val="none" w:sz="0" w:space="0" w:color="auto"/>
        <w:left w:val="none" w:sz="0" w:space="0" w:color="auto"/>
        <w:bottom w:val="none" w:sz="0" w:space="0" w:color="auto"/>
        <w:right w:val="none" w:sz="0" w:space="0" w:color="auto"/>
      </w:divBdr>
    </w:div>
    <w:div w:id="1748571710">
      <w:bodyDiv w:val="1"/>
      <w:marLeft w:val="0"/>
      <w:marRight w:val="0"/>
      <w:marTop w:val="0"/>
      <w:marBottom w:val="0"/>
      <w:divBdr>
        <w:top w:val="none" w:sz="0" w:space="0" w:color="auto"/>
        <w:left w:val="none" w:sz="0" w:space="0" w:color="auto"/>
        <w:bottom w:val="none" w:sz="0" w:space="0" w:color="auto"/>
        <w:right w:val="none" w:sz="0" w:space="0" w:color="auto"/>
      </w:divBdr>
    </w:div>
    <w:div w:id="1770077966">
      <w:bodyDiv w:val="1"/>
      <w:marLeft w:val="0"/>
      <w:marRight w:val="0"/>
      <w:marTop w:val="0"/>
      <w:marBottom w:val="0"/>
      <w:divBdr>
        <w:top w:val="none" w:sz="0" w:space="0" w:color="auto"/>
        <w:left w:val="none" w:sz="0" w:space="0" w:color="auto"/>
        <w:bottom w:val="none" w:sz="0" w:space="0" w:color="auto"/>
        <w:right w:val="none" w:sz="0" w:space="0" w:color="auto"/>
      </w:divBdr>
    </w:div>
    <w:div w:id="1775855701">
      <w:bodyDiv w:val="1"/>
      <w:marLeft w:val="0"/>
      <w:marRight w:val="0"/>
      <w:marTop w:val="0"/>
      <w:marBottom w:val="0"/>
      <w:divBdr>
        <w:top w:val="none" w:sz="0" w:space="0" w:color="auto"/>
        <w:left w:val="none" w:sz="0" w:space="0" w:color="auto"/>
        <w:bottom w:val="none" w:sz="0" w:space="0" w:color="auto"/>
        <w:right w:val="none" w:sz="0" w:space="0" w:color="auto"/>
      </w:divBdr>
    </w:div>
    <w:div w:id="1781874398">
      <w:bodyDiv w:val="1"/>
      <w:marLeft w:val="0"/>
      <w:marRight w:val="0"/>
      <w:marTop w:val="0"/>
      <w:marBottom w:val="0"/>
      <w:divBdr>
        <w:top w:val="none" w:sz="0" w:space="0" w:color="auto"/>
        <w:left w:val="none" w:sz="0" w:space="0" w:color="auto"/>
        <w:bottom w:val="none" w:sz="0" w:space="0" w:color="auto"/>
        <w:right w:val="none" w:sz="0" w:space="0" w:color="auto"/>
      </w:divBdr>
    </w:div>
    <w:div w:id="1804932107">
      <w:bodyDiv w:val="1"/>
      <w:marLeft w:val="0"/>
      <w:marRight w:val="0"/>
      <w:marTop w:val="0"/>
      <w:marBottom w:val="0"/>
      <w:divBdr>
        <w:top w:val="none" w:sz="0" w:space="0" w:color="auto"/>
        <w:left w:val="none" w:sz="0" w:space="0" w:color="auto"/>
        <w:bottom w:val="none" w:sz="0" w:space="0" w:color="auto"/>
        <w:right w:val="none" w:sz="0" w:space="0" w:color="auto"/>
      </w:divBdr>
    </w:div>
    <w:div w:id="1807044770">
      <w:bodyDiv w:val="1"/>
      <w:marLeft w:val="0"/>
      <w:marRight w:val="0"/>
      <w:marTop w:val="0"/>
      <w:marBottom w:val="0"/>
      <w:divBdr>
        <w:top w:val="none" w:sz="0" w:space="0" w:color="auto"/>
        <w:left w:val="none" w:sz="0" w:space="0" w:color="auto"/>
        <w:bottom w:val="none" w:sz="0" w:space="0" w:color="auto"/>
        <w:right w:val="none" w:sz="0" w:space="0" w:color="auto"/>
      </w:divBdr>
    </w:div>
    <w:div w:id="1819570289">
      <w:bodyDiv w:val="1"/>
      <w:marLeft w:val="0"/>
      <w:marRight w:val="0"/>
      <w:marTop w:val="0"/>
      <w:marBottom w:val="0"/>
      <w:divBdr>
        <w:top w:val="none" w:sz="0" w:space="0" w:color="auto"/>
        <w:left w:val="none" w:sz="0" w:space="0" w:color="auto"/>
        <w:bottom w:val="none" w:sz="0" w:space="0" w:color="auto"/>
        <w:right w:val="none" w:sz="0" w:space="0" w:color="auto"/>
      </w:divBdr>
    </w:div>
    <w:div w:id="1839733366">
      <w:bodyDiv w:val="1"/>
      <w:marLeft w:val="0"/>
      <w:marRight w:val="0"/>
      <w:marTop w:val="0"/>
      <w:marBottom w:val="0"/>
      <w:divBdr>
        <w:top w:val="none" w:sz="0" w:space="0" w:color="auto"/>
        <w:left w:val="none" w:sz="0" w:space="0" w:color="auto"/>
        <w:bottom w:val="none" w:sz="0" w:space="0" w:color="auto"/>
        <w:right w:val="none" w:sz="0" w:space="0" w:color="auto"/>
      </w:divBdr>
    </w:div>
    <w:div w:id="1870029935">
      <w:bodyDiv w:val="1"/>
      <w:marLeft w:val="0"/>
      <w:marRight w:val="0"/>
      <w:marTop w:val="0"/>
      <w:marBottom w:val="0"/>
      <w:divBdr>
        <w:top w:val="none" w:sz="0" w:space="0" w:color="auto"/>
        <w:left w:val="none" w:sz="0" w:space="0" w:color="auto"/>
        <w:bottom w:val="none" w:sz="0" w:space="0" w:color="auto"/>
        <w:right w:val="none" w:sz="0" w:space="0" w:color="auto"/>
      </w:divBdr>
    </w:div>
    <w:div w:id="1874339873">
      <w:bodyDiv w:val="1"/>
      <w:marLeft w:val="0"/>
      <w:marRight w:val="0"/>
      <w:marTop w:val="0"/>
      <w:marBottom w:val="0"/>
      <w:divBdr>
        <w:top w:val="none" w:sz="0" w:space="0" w:color="auto"/>
        <w:left w:val="none" w:sz="0" w:space="0" w:color="auto"/>
        <w:bottom w:val="none" w:sz="0" w:space="0" w:color="auto"/>
        <w:right w:val="none" w:sz="0" w:space="0" w:color="auto"/>
      </w:divBdr>
    </w:div>
    <w:div w:id="1886865187">
      <w:bodyDiv w:val="1"/>
      <w:marLeft w:val="0"/>
      <w:marRight w:val="0"/>
      <w:marTop w:val="0"/>
      <w:marBottom w:val="0"/>
      <w:divBdr>
        <w:top w:val="none" w:sz="0" w:space="0" w:color="auto"/>
        <w:left w:val="none" w:sz="0" w:space="0" w:color="auto"/>
        <w:bottom w:val="none" w:sz="0" w:space="0" w:color="auto"/>
        <w:right w:val="none" w:sz="0" w:space="0" w:color="auto"/>
      </w:divBdr>
    </w:div>
    <w:div w:id="1920403229">
      <w:bodyDiv w:val="1"/>
      <w:marLeft w:val="0"/>
      <w:marRight w:val="0"/>
      <w:marTop w:val="0"/>
      <w:marBottom w:val="0"/>
      <w:divBdr>
        <w:top w:val="none" w:sz="0" w:space="0" w:color="auto"/>
        <w:left w:val="none" w:sz="0" w:space="0" w:color="auto"/>
        <w:bottom w:val="none" w:sz="0" w:space="0" w:color="auto"/>
        <w:right w:val="none" w:sz="0" w:space="0" w:color="auto"/>
      </w:divBdr>
    </w:div>
    <w:div w:id="1959338449">
      <w:bodyDiv w:val="1"/>
      <w:marLeft w:val="0"/>
      <w:marRight w:val="0"/>
      <w:marTop w:val="0"/>
      <w:marBottom w:val="0"/>
      <w:divBdr>
        <w:top w:val="none" w:sz="0" w:space="0" w:color="auto"/>
        <w:left w:val="none" w:sz="0" w:space="0" w:color="auto"/>
        <w:bottom w:val="none" w:sz="0" w:space="0" w:color="auto"/>
        <w:right w:val="none" w:sz="0" w:space="0" w:color="auto"/>
      </w:divBdr>
    </w:div>
    <w:div w:id="1989629646">
      <w:bodyDiv w:val="1"/>
      <w:marLeft w:val="0"/>
      <w:marRight w:val="0"/>
      <w:marTop w:val="0"/>
      <w:marBottom w:val="0"/>
      <w:divBdr>
        <w:top w:val="none" w:sz="0" w:space="0" w:color="auto"/>
        <w:left w:val="none" w:sz="0" w:space="0" w:color="auto"/>
        <w:bottom w:val="none" w:sz="0" w:space="0" w:color="auto"/>
        <w:right w:val="none" w:sz="0" w:space="0" w:color="auto"/>
      </w:divBdr>
    </w:div>
    <w:div w:id="2052147557">
      <w:bodyDiv w:val="1"/>
      <w:marLeft w:val="0"/>
      <w:marRight w:val="0"/>
      <w:marTop w:val="0"/>
      <w:marBottom w:val="0"/>
      <w:divBdr>
        <w:top w:val="none" w:sz="0" w:space="0" w:color="auto"/>
        <w:left w:val="none" w:sz="0" w:space="0" w:color="auto"/>
        <w:bottom w:val="none" w:sz="0" w:space="0" w:color="auto"/>
        <w:right w:val="none" w:sz="0" w:space="0" w:color="auto"/>
      </w:divBdr>
    </w:div>
    <w:div w:id="2112554146">
      <w:bodyDiv w:val="1"/>
      <w:marLeft w:val="0"/>
      <w:marRight w:val="0"/>
      <w:marTop w:val="0"/>
      <w:marBottom w:val="0"/>
      <w:divBdr>
        <w:top w:val="none" w:sz="0" w:space="0" w:color="auto"/>
        <w:left w:val="none" w:sz="0" w:space="0" w:color="auto"/>
        <w:bottom w:val="none" w:sz="0" w:space="0" w:color="auto"/>
        <w:right w:val="none" w:sz="0" w:space="0" w:color="auto"/>
      </w:divBdr>
    </w:div>
    <w:div w:id="2123761750">
      <w:bodyDiv w:val="1"/>
      <w:marLeft w:val="0"/>
      <w:marRight w:val="0"/>
      <w:marTop w:val="0"/>
      <w:marBottom w:val="0"/>
      <w:divBdr>
        <w:top w:val="none" w:sz="0" w:space="0" w:color="auto"/>
        <w:left w:val="none" w:sz="0" w:space="0" w:color="auto"/>
        <w:bottom w:val="none" w:sz="0" w:space="0" w:color="auto"/>
        <w:right w:val="none" w:sz="0" w:space="0" w:color="auto"/>
      </w:divBdr>
    </w:div>
    <w:div w:id="2140688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pu.org/resources/publications/handbooks/2016-07/human-rights-handbook-parliamentarians" TargetMode="External"/><Relationship Id="rId18" Type="http://schemas.openxmlformats.org/officeDocument/2006/relationships/hyperlink" Target="https://www.eca.europa.eu/sites/regulatory-impact-analysis-conference/EN/Documents/Artcicle%20Popelier.pdf" TargetMode="External"/><Relationship Id="rId26" Type="http://schemas.openxmlformats.org/officeDocument/2006/relationships/hyperlink" Target="https://heinonline.org/HOL/LandingPage?handle=hein.journals/ejlr21&amp;div=20&amp;id=&amp;page=" TargetMode="External"/><Relationship Id="rId39" Type="http://schemas.openxmlformats.org/officeDocument/2006/relationships/hyperlink" Target="https://www.ipu.org/file/11260/download" TargetMode="External"/><Relationship Id="rId3" Type="http://schemas.openxmlformats.org/officeDocument/2006/relationships/customXml" Target="../customXml/item3.xml"/><Relationship Id="rId21" Type="http://schemas.openxmlformats.org/officeDocument/2006/relationships/hyperlink" Target="http://archive.ipu.org/pdf/publications/gsp11-e.pdf" TargetMode="External"/><Relationship Id="rId34" Type="http://schemas.openxmlformats.org/officeDocument/2006/relationships/hyperlink" Target="https://www2.unwomen.org/-/media/field%20office%20eca/attachments/publications/country/ukraine/en%20manual%20grb%20analysisprint-100.pdf?la=en&amp;vs=228" TargetMode="External"/><Relationship Id="rId42" Type="http://schemas.openxmlformats.org/officeDocument/2006/relationships/hyperlink" Target="https://www.ipu.org/youth2021"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ohchr.org/en/publications/special-issue-publications/human-rights-handbook-parliamentarians-revised-edition" TargetMode="External"/><Relationship Id="rId17" Type="http://schemas.openxmlformats.org/officeDocument/2006/relationships/hyperlink" Target="https://www.ipu.org/file/5054/download" TargetMode="External"/><Relationship Id="rId25" Type="http://schemas.openxmlformats.org/officeDocument/2006/relationships/hyperlink" Target="http://www.parliament.gov.fj/newitems/GENDERTOOLKIT_A5_FINAL.pdf" TargetMode="External"/><Relationship Id="rId33" Type="http://schemas.openxmlformats.org/officeDocument/2006/relationships/hyperlink" Target="https://eca.unwomen.org/sites/default/files/Field%20Office%20ECA/Attachments/Publications/Country/Ukraine/EN%20manual%20GRB%20AnalysisPRINT-100.pdf" TargetMode="External"/><Relationship Id="rId38" Type="http://schemas.openxmlformats.org/officeDocument/2006/relationships/hyperlink" Target="https://www.ipu.org/resources/publications/handbooks/2016-07/handbook-child-participation-in-parliament"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hchr.org/sites/default/files/Documents/HRBodies/HRCouncil/RegularSession/Session20/A-HRC-20-9_en.pdf" TargetMode="External"/><Relationship Id="rId20" Type="http://schemas.openxmlformats.org/officeDocument/2006/relationships/hyperlink" Target="http://archive.ipu.org/pdf/publications/gsp11-e.pdf" TargetMode="External"/><Relationship Id="rId29" Type="http://schemas.openxmlformats.org/officeDocument/2006/relationships/hyperlink" Target="https://www.imf.org/en/Publications/WP/Issues/2016/12/31/Europe-A-Survey-of-Gender-Budgeting-Efforts-44148" TargetMode="External"/><Relationship Id="rId41" Type="http://schemas.openxmlformats.org/officeDocument/2006/relationships/hyperlink" Target="https://www.ipu.org/youth202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sce.org/odihr/327836" TargetMode="External"/><Relationship Id="rId32" Type="http://schemas.openxmlformats.org/officeDocument/2006/relationships/hyperlink" Target="https://www.oecd.org/gender/Gender-Budgeting-in-OECD-countries.pdf" TargetMode="External"/><Relationship Id="rId37" Type="http://schemas.openxmlformats.org/officeDocument/2006/relationships/hyperlink" Target="https://www.ipu.org/resources/publications/handbooks/2016-07/handbook-child-participation-in-parliament" TargetMode="External"/><Relationship Id="rId40" Type="http://schemas.openxmlformats.org/officeDocument/2006/relationships/hyperlink" Target="https://www.ipu.org/file/11260/download"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ohchr.org/en/instruments-mechanisms/instruments/international-covenant-civil-and-political-rights" TargetMode="External"/><Relationship Id="rId23" Type="http://schemas.openxmlformats.org/officeDocument/2006/relationships/hyperlink" Target="https://www.osce.org/odihr/327836" TargetMode="External"/><Relationship Id="rId28" Type="http://schemas.openxmlformats.org/officeDocument/2006/relationships/hyperlink" Target="https://www.ndi.org/sites/default/files/Manual%20for%20Training%20on%20Gender%20Responsive%20Budgeting.pdf" TargetMode="External"/><Relationship Id="rId36" Type="http://schemas.openxmlformats.org/officeDocument/2006/relationships/hyperlink" Target="http://archive.ipu.org/conf-e/122/Res-3.htm" TargetMode="External"/><Relationship Id="rId10" Type="http://schemas.openxmlformats.org/officeDocument/2006/relationships/footnotes" Target="footnotes.xml"/><Relationship Id="rId19" Type="http://schemas.openxmlformats.org/officeDocument/2006/relationships/hyperlink" Target="https://www.ihrec.ie/app/uploads/download/pdf/guidelines_for_conducting_equality_impact_assessments_on_ivea_and_vec_plans_policies_and_programmes.pdf" TargetMode="External"/><Relationship Id="rId31" Type="http://schemas.openxmlformats.org/officeDocument/2006/relationships/hyperlink" Target="http://archive.ipu.org/PDF/publications/budget_en.pdf"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about-us/universal-declaration-of-human-rights" TargetMode="External"/><Relationship Id="rId22" Type="http://schemas.openxmlformats.org/officeDocument/2006/relationships/hyperlink" Target="https://www.ipu.org/resources/publications/toolkits/2016-11/evaluating-gender-sensitivity-parliaments-self-assessment-toolkit" TargetMode="External"/><Relationship Id="rId27" Type="http://schemas.openxmlformats.org/officeDocument/2006/relationships/hyperlink" Target="https://heinonline.org/HOL/LandingPage?handle=hein.journals/ejlr21&amp;div=20&amp;id=&amp;page=" TargetMode="External"/><Relationship Id="rId30" Type="http://schemas.openxmlformats.org/officeDocument/2006/relationships/hyperlink" Target="https://www.imf.org/en/Publications/WP/Issues/2016/12/31/Europe-A-Survey-of-Gender-Budgeting-Efforts-44148" TargetMode="External"/><Relationship Id="rId35" Type="http://schemas.openxmlformats.org/officeDocument/2006/relationships/hyperlink" Target="http://archive.ipu.org/conf-e/122/Res-3.htm"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N/8I/bTZ/xIEiF+O4F4Q/BnhQA==">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A41501-45F8-4321-A5EF-8DD19FF94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CA9F45-7E95-4F3E-8ECA-DC1D1013AE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F1BF2B-B33D-431B-AF89-3402D89C00C1}">
  <ds:schemaRefs>
    <ds:schemaRef ds:uri="http://schemas.openxmlformats.org/officeDocument/2006/bibliography"/>
  </ds:schemaRefs>
</ds:datastoreItem>
</file>

<file path=customXml/itemProps5.xml><?xml version="1.0" encoding="utf-8"?>
<ds:datastoreItem xmlns:ds="http://schemas.openxmlformats.org/officeDocument/2006/customXml" ds:itemID="{3890F793-930F-4471-8952-D27BBDDEC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6032</Words>
  <Characters>33176</Characters>
  <Application>Microsoft Office Word</Application>
  <DocSecurity>0</DocSecurity>
  <Lines>276</Lines>
  <Paragraphs>78</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Mijanovic</dc:creator>
  <cp:lastModifiedBy>Andy Richardson</cp:lastModifiedBy>
  <cp:revision>4</cp:revision>
  <dcterms:created xsi:type="dcterms:W3CDTF">2023-09-26T14:21:00Z</dcterms:created>
  <dcterms:modified xsi:type="dcterms:W3CDTF">2023-10-20T10:09:00Z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