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DDBD" w14:textId="77777777" w:rsidR="000C4185" w:rsidRPr="00800F6F" w:rsidRDefault="00251F6E" w:rsidP="00800F6F">
      <w:pPr>
        <w:pStyle w:val="Indicator"/>
        <w:rPr>
          <w:lang w:val="fr-CH"/>
        </w:rPr>
      </w:pPr>
      <w:bookmarkStart w:id="0" w:name="_3rdcrjn"/>
      <w:bookmarkEnd w:id="0"/>
      <w:r w:rsidRPr="00800F6F">
        <w:rPr>
          <w:lang w:val="fr-CH"/>
        </w:rPr>
        <w:t>Indicateur 2.2 : Intégrité institutionnelle</w:t>
      </w:r>
    </w:p>
    <w:p w14:paraId="3AA0774C" w14:textId="77777777" w:rsidR="000C4185" w:rsidRPr="00800F6F" w:rsidRDefault="00251F6E" w:rsidP="00800F6F">
      <w:pPr>
        <w:pStyle w:val="section-title"/>
      </w:pPr>
      <w:r w:rsidRPr="00800F6F">
        <w:t>À propos de l</w:t>
      </w:r>
      <w:r w:rsidRPr="00800F6F">
        <w:rPr>
          <w:cs/>
        </w:rPr>
        <w:t>’</w:t>
      </w:r>
      <w:r w:rsidRPr="00800F6F">
        <w:t>indicateur</w:t>
      </w:r>
    </w:p>
    <w:p w14:paraId="390D7E12" w14:textId="77777777" w:rsidR="000C4185" w:rsidRPr="007D4673" w:rsidRDefault="00251F6E" w:rsidP="00471D59">
      <w:pPr>
        <w:spacing w:line="240" w:lineRule="auto"/>
        <w:rPr>
          <w:sz w:val="20"/>
        </w:rPr>
      </w:pPr>
      <w:r w:rsidRPr="007D4673">
        <w:rPr>
          <w:sz w:val="20"/>
        </w:rPr>
        <w:t>Dans les systèmes politiques démocratiques, le parlement est souvent considéré comme l'institution suprême de la nation. Il est donc essentiel que le parlement prêche par l'exemple en matière d'intégrité institutionnelle et que son fonctionnement respecte les normes et les valeurs les plus exemplaires.</w:t>
      </w:r>
    </w:p>
    <w:p w14:paraId="55AA3BC0" w14:textId="77777777" w:rsidR="000C4185" w:rsidRPr="007D4673" w:rsidRDefault="000C4185" w:rsidP="00471D59">
      <w:pPr>
        <w:spacing w:line="240" w:lineRule="auto"/>
        <w:rPr>
          <w:sz w:val="20"/>
        </w:rPr>
      </w:pPr>
    </w:p>
    <w:p w14:paraId="7EC30BF7" w14:textId="77777777" w:rsidR="000C4185" w:rsidRPr="007D4673" w:rsidRDefault="00251F6E" w:rsidP="00586612">
      <w:pPr>
        <w:spacing w:line="240" w:lineRule="auto"/>
        <w:rPr>
          <w:sz w:val="20"/>
        </w:rPr>
      </w:pPr>
      <w:r w:rsidRPr="007D4673">
        <w:rPr>
          <w:sz w:val="20"/>
        </w:rPr>
        <w:t xml:space="preserve">Le présent indicateur porte sur diverses facettes de l'intégrité institutionnelle à laquelle les parlements devraient aspirer. Il s'agit notamment de la redevabilité concernant les dépenses du parlement, ainsi que de la transparence des procédures d'attribution de marchés. Il couvre également les responsabilités assumées par le parlement au regard de la législation garantissant le droit à l'information. </w:t>
      </w:r>
    </w:p>
    <w:p w14:paraId="1BAEED0E" w14:textId="77777777" w:rsidR="000C4185" w:rsidRPr="007D4673" w:rsidRDefault="000C4185" w:rsidP="0049533D">
      <w:pPr>
        <w:spacing w:line="240" w:lineRule="auto"/>
        <w:rPr>
          <w:sz w:val="20"/>
          <w:szCs w:val="20"/>
        </w:rPr>
      </w:pPr>
    </w:p>
    <w:p w14:paraId="20C90256" w14:textId="77777777" w:rsidR="000C4185" w:rsidRPr="007D4673" w:rsidRDefault="00251F6E" w:rsidP="00586612">
      <w:pPr>
        <w:spacing w:line="240" w:lineRule="auto"/>
        <w:rPr>
          <w:sz w:val="20"/>
          <w:szCs w:val="20"/>
        </w:rPr>
      </w:pPr>
      <w:r w:rsidRPr="007D4673">
        <w:rPr>
          <w:sz w:val="20"/>
        </w:rPr>
        <w:t xml:space="preserve">Cet indicateur traite également du développement de carrière et du professionnalisme du personnel parlementaire, qui est tenu de s'acquitter de sa mission de façon apartisane dans un environnement éminemment politique, ainsi que de la responsabilité assumée par le parlement concernant son propre développement institutionnel. </w:t>
      </w:r>
    </w:p>
    <w:p w14:paraId="5A6B6552" w14:textId="77777777" w:rsidR="000C4185" w:rsidRPr="007D4673" w:rsidRDefault="000C4185" w:rsidP="00471D59">
      <w:pPr>
        <w:spacing w:line="240" w:lineRule="auto"/>
        <w:rPr>
          <w:sz w:val="20"/>
          <w:szCs w:val="20"/>
        </w:rPr>
      </w:pPr>
    </w:p>
    <w:p w14:paraId="651AF0F3" w14:textId="77777777" w:rsidR="000C4185" w:rsidRPr="007D4673" w:rsidRDefault="00251F6E" w:rsidP="00471D59">
      <w:pPr>
        <w:spacing w:line="240" w:lineRule="auto"/>
        <w:rPr>
          <w:sz w:val="20"/>
          <w:szCs w:val="20"/>
        </w:rPr>
      </w:pPr>
      <w:r w:rsidRPr="007D4673">
        <w:rPr>
          <w:sz w:val="20"/>
        </w:rPr>
        <w:t>L'indicateur comprend les aspects suivants :</w:t>
      </w:r>
    </w:p>
    <w:p w14:paraId="559A8546" w14:textId="77777777" w:rsidR="000C4185" w:rsidRPr="007D4673" w:rsidRDefault="000C4185" w:rsidP="00471D59">
      <w:pPr>
        <w:spacing w:line="240" w:lineRule="auto"/>
        <w:rPr>
          <w:sz w:val="20"/>
          <w:szCs w:val="20"/>
        </w:rPr>
      </w:pPr>
    </w:p>
    <w:p w14:paraId="23F7B6F5" w14:textId="77777777" w:rsidR="000C4185" w:rsidRPr="007D4673" w:rsidRDefault="00251F6E" w:rsidP="00471D59">
      <w:pPr>
        <w:numPr>
          <w:ilvl w:val="0"/>
          <w:numId w:val="25"/>
        </w:numPr>
        <w:spacing w:line="240" w:lineRule="auto"/>
        <w:ind w:left="562" w:hanging="562"/>
        <w:contextualSpacing/>
        <w:rPr>
          <w:sz w:val="20"/>
          <w:szCs w:val="20"/>
        </w:rPr>
      </w:pPr>
      <w:r w:rsidRPr="007D4673">
        <w:rPr>
          <w:sz w:val="20"/>
        </w:rPr>
        <w:t>Aspect 2.2.1 : Dépenses du parlement</w:t>
      </w:r>
    </w:p>
    <w:p w14:paraId="71329763" w14:textId="77777777" w:rsidR="000C4185" w:rsidRPr="007D4673" w:rsidRDefault="000C4185" w:rsidP="00471D59">
      <w:pPr>
        <w:spacing w:line="240" w:lineRule="auto"/>
        <w:ind w:left="562"/>
        <w:contextualSpacing/>
        <w:rPr>
          <w:sz w:val="20"/>
          <w:szCs w:val="20"/>
        </w:rPr>
      </w:pPr>
    </w:p>
    <w:p w14:paraId="3CE6AE9F" w14:textId="77777777" w:rsidR="000C4185" w:rsidRPr="007D4673" w:rsidRDefault="00251F6E" w:rsidP="00471D59">
      <w:pPr>
        <w:numPr>
          <w:ilvl w:val="0"/>
          <w:numId w:val="25"/>
        </w:numPr>
        <w:spacing w:line="240" w:lineRule="auto"/>
        <w:ind w:left="562" w:hanging="562"/>
        <w:contextualSpacing/>
        <w:rPr>
          <w:sz w:val="20"/>
          <w:szCs w:val="20"/>
        </w:rPr>
      </w:pPr>
      <w:r w:rsidRPr="007D4673">
        <w:rPr>
          <w:sz w:val="20"/>
        </w:rPr>
        <w:t>Aspect 2.2.2 : Passation de marchés publics</w:t>
      </w:r>
    </w:p>
    <w:p w14:paraId="78C5D4C3" w14:textId="77777777" w:rsidR="000C4185" w:rsidRPr="007D4673" w:rsidRDefault="000C4185" w:rsidP="00471D59">
      <w:pPr>
        <w:spacing w:line="240" w:lineRule="auto"/>
        <w:ind w:left="562"/>
        <w:contextualSpacing/>
        <w:rPr>
          <w:sz w:val="20"/>
          <w:szCs w:val="20"/>
        </w:rPr>
      </w:pPr>
    </w:p>
    <w:p w14:paraId="58803639" w14:textId="77777777" w:rsidR="000C4185" w:rsidRPr="007D4673" w:rsidRDefault="00251F6E" w:rsidP="00471D59">
      <w:pPr>
        <w:numPr>
          <w:ilvl w:val="0"/>
          <w:numId w:val="25"/>
        </w:numPr>
        <w:spacing w:line="240" w:lineRule="auto"/>
        <w:ind w:left="562" w:hanging="562"/>
        <w:contextualSpacing/>
        <w:rPr>
          <w:sz w:val="20"/>
          <w:szCs w:val="20"/>
        </w:rPr>
      </w:pPr>
      <w:r w:rsidRPr="007D4673">
        <w:rPr>
          <w:sz w:val="20"/>
        </w:rPr>
        <w:t>Aspect 2.2.3 : Droit à l'information</w:t>
      </w:r>
    </w:p>
    <w:p w14:paraId="49AD0C70" w14:textId="77777777" w:rsidR="000C4185" w:rsidRPr="007D4673" w:rsidRDefault="000C4185" w:rsidP="00471D59">
      <w:pPr>
        <w:spacing w:line="240" w:lineRule="auto"/>
        <w:ind w:left="562"/>
        <w:contextualSpacing/>
        <w:rPr>
          <w:sz w:val="20"/>
          <w:szCs w:val="20"/>
        </w:rPr>
      </w:pPr>
    </w:p>
    <w:p w14:paraId="0EC2F577" w14:textId="77777777" w:rsidR="000C4185" w:rsidRPr="007D4673" w:rsidRDefault="00251F6E" w:rsidP="00471D59">
      <w:pPr>
        <w:numPr>
          <w:ilvl w:val="0"/>
          <w:numId w:val="25"/>
        </w:numPr>
        <w:spacing w:line="240" w:lineRule="auto"/>
        <w:ind w:left="562" w:hanging="562"/>
        <w:contextualSpacing/>
        <w:rPr>
          <w:sz w:val="20"/>
          <w:szCs w:val="20"/>
        </w:rPr>
      </w:pPr>
      <w:r w:rsidRPr="007D4673">
        <w:rPr>
          <w:sz w:val="20"/>
        </w:rPr>
        <w:t>Aspect 2.2.4 : Professionnalisme de l'administration parlementaire</w:t>
      </w:r>
    </w:p>
    <w:p w14:paraId="684F825C" w14:textId="77777777" w:rsidR="000C4185" w:rsidRPr="007D4673" w:rsidRDefault="000C4185" w:rsidP="00471D59">
      <w:pPr>
        <w:spacing w:line="240" w:lineRule="auto"/>
        <w:ind w:left="562"/>
        <w:contextualSpacing/>
        <w:rPr>
          <w:sz w:val="20"/>
          <w:szCs w:val="20"/>
        </w:rPr>
      </w:pPr>
    </w:p>
    <w:p w14:paraId="4D490319" w14:textId="77777777" w:rsidR="000C4185" w:rsidRPr="007D4673" w:rsidRDefault="00251F6E" w:rsidP="00471D59">
      <w:pPr>
        <w:numPr>
          <w:ilvl w:val="0"/>
          <w:numId w:val="25"/>
        </w:numPr>
        <w:spacing w:line="240" w:lineRule="auto"/>
        <w:ind w:left="562" w:hanging="562"/>
        <w:contextualSpacing/>
        <w:rPr>
          <w:sz w:val="20"/>
          <w:szCs w:val="20"/>
        </w:rPr>
      </w:pPr>
      <w:r w:rsidRPr="007D4673">
        <w:rPr>
          <w:sz w:val="20"/>
        </w:rPr>
        <w:t>Aspect 2.2.5 : Développement institutionnel du parlement</w:t>
      </w:r>
    </w:p>
    <w:p w14:paraId="0508C3B5" w14:textId="77777777" w:rsidR="000C4185" w:rsidRPr="007D4673" w:rsidRDefault="000C4185" w:rsidP="00471D59">
      <w:pPr>
        <w:spacing w:line="240" w:lineRule="auto"/>
        <w:rPr>
          <w:sz w:val="20"/>
          <w:szCs w:val="20"/>
        </w:rPr>
      </w:pPr>
    </w:p>
    <w:p w14:paraId="3C48A044" w14:textId="77777777" w:rsidR="000C4185" w:rsidRPr="007D4673" w:rsidRDefault="000C4185" w:rsidP="00471D59">
      <w:pPr>
        <w:spacing w:line="240" w:lineRule="auto"/>
        <w:rPr>
          <w:sz w:val="20"/>
          <w:szCs w:val="20"/>
        </w:rPr>
      </w:pPr>
    </w:p>
    <w:p w14:paraId="49391C4E" w14:textId="77777777" w:rsidR="000C4185" w:rsidRPr="007D4673" w:rsidRDefault="000C4185" w:rsidP="00471D59">
      <w:pPr>
        <w:spacing w:line="240" w:lineRule="auto"/>
        <w:rPr>
          <w:sz w:val="20"/>
          <w:szCs w:val="20"/>
        </w:rPr>
      </w:pPr>
    </w:p>
    <w:p w14:paraId="2EFFC0BE" w14:textId="77777777" w:rsidR="000C4185" w:rsidRPr="00800F6F" w:rsidRDefault="00251F6E" w:rsidP="00800F6F">
      <w:pPr>
        <w:pStyle w:val="Dimension"/>
      </w:pPr>
      <w:bookmarkStart w:id="1" w:name="_26in1rg"/>
      <w:bookmarkEnd w:id="1"/>
      <w:r w:rsidRPr="007D4673">
        <w:lastRenderedPageBreak/>
        <w:t>Aspect 2.2.1 : Dépenses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471D59" w:rsidRPr="007D4673" w14:paraId="1C1AC378" w14:textId="77777777" w:rsidTr="006400CE">
        <w:tc>
          <w:tcPr>
            <w:tcW w:w="9350" w:type="dxa"/>
            <w:shd w:val="clear" w:color="auto" w:fill="EEEEEE"/>
          </w:tcPr>
          <w:p w14:paraId="2491FBC9" w14:textId="77777777" w:rsidR="000C4185" w:rsidRPr="007D4673" w:rsidRDefault="00251F6E" w:rsidP="006400CE">
            <w:pPr>
              <w:spacing w:line="240" w:lineRule="auto"/>
              <w:rPr>
                <w:sz w:val="20"/>
                <w:szCs w:val="20"/>
              </w:rPr>
            </w:pPr>
            <w:r w:rsidRPr="007D4673">
              <w:rPr>
                <w:sz w:val="20"/>
              </w:rPr>
              <w:t>Cet aspect s'applique aux éléments suivants :</w:t>
            </w:r>
          </w:p>
          <w:p w14:paraId="0F7521CB" w14:textId="77777777" w:rsidR="000C4185" w:rsidRPr="007D4673" w:rsidRDefault="00251F6E" w:rsidP="006400CE">
            <w:pPr>
              <w:pStyle w:val="Paragraphedeliste"/>
              <w:numPr>
                <w:ilvl w:val="0"/>
                <w:numId w:val="8"/>
              </w:numPr>
              <w:spacing w:line="240" w:lineRule="auto"/>
              <w:rPr>
                <w:rFonts w:eastAsia="Calibri" w:cs="Calibri"/>
                <w:sz w:val="20"/>
                <w:szCs w:val="20"/>
              </w:rPr>
            </w:pPr>
            <w:r w:rsidRPr="007D4673">
              <w:rPr>
                <w:sz w:val="20"/>
              </w:rPr>
              <w:t>Indicateur 2.2 : Intégrité institutionnelle</w:t>
            </w:r>
          </w:p>
          <w:p w14:paraId="1B9E1F12" w14:textId="77777777" w:rsidR="000C4185" w:rsidRPr="007D4673" w:rsidRDefault="00251F6E" w:rsidP="006400CE">
            <w:pPr>
              <w:pStyle w:val="Paragraphedeliste"/>
              <w:numPr>
                <w:ilvl w:val="0"/>
                <w:numId w:val="8"/>
              </w:numPr>
              <w:spacing w:line="240" w:lineRule="auto"/>
              <w:rPr>
                <w:rFonts w:eastAsia="Calibri" w:cs="Calibri"/>
                <w:sz w:val="24"/>
                <w:szCs w:val="20"/>
              </w:rPr>
            </w:pPr>
            <w:r w:rsidRPr="007D4673">
              <w:rPr>
                <w:sz w:val="20"/>
              </w:rPr>
              <w:t>Cible 2 : Des parlements responsables</w:t>
            </w:r>
          </w:p>
        </w:tc>
      </w:tr>
    </w:tbl>
    <w:p w14:paraId="49C98279" w14:textId="77777777" w:rsidR="000C4185" w:rsidRPr="007D4673" w:rsidRDefault="00251F6E" w:rsidP="00800F6F">
      <w:pPr>
        <w:pStyle w:val="section-title"/>
      </w:pPr>
      <w:r w:rsidRPr="007D4673">
        <w:t>À propos de l'aspect</w:t>
      </w:r>
    </w:p>
    <w:p w14:paraId="529F386B" w14:textId="10216C83" w:rsidR="000C4185" w:rsidRPr="007D4673" w:rsidRDefault="00251F6E" w:rsidP="00471D59">
      <w:pPr>
        <w:spacing w:line="240" w:lineRule="auto"/>
        <w:rPr>
          <w:sz w:val="20"/>
          <w:szCs w:val="20"/>
        </w:rPr>
      </w:pPr>
      <w:r w:rsidRPr="007D4673">
        <w:rPr>
          <w:sz w:val="20"/>
        </w:rPr>
        <w:t xml:space="preserve">L'autonomie dont dispose le parlement concernant la fixation de son propre budget et ce à quoi il le consacre exige de la transparence et de la redevabilité </w:t>
      </w:r>
      <w:r w:rsidR="00133E2A" w:rsidRPr="007D4673">
        <w:rPr>
          <w:sz w:val="20"/>
        </w:rPr>
        <w:t xml:space="preserve">à propos de </w:t>
      </w:r>
      <w:r w:rsidRPr="007D4673">
        <w:rPr>
          <w:sz w:val="20"/>
        </w:rPr>
        <w:t xml:space="preserve">l'usage </w:t>
      </w:r>
      <w:r w:rsidR="00133E2A" w:rsidRPr="007D4673">
        <w:rPr>
          <w:sz w:val="20"/>
        </w:rPr>
        <w:t xml:space="preserve">réservé à </w:t>
      </w:r>
      <w:r w:rsidRPr="007D4673">
        <w:rPr>
          <w:sz w:val="20"/>
        </w:rPr>
        <w:t>ces fonds. Cet aspect porte sur les règles, les procédures et les pratiques visant à permettre au parlement d'assurer cette transparence et cette redevabilité.</w:t>
      </w:r>
    </w:p>
    <w:p w14:paraId="41444041" w14:textId="77777777" w:rsidR="000C4185" w:rsidRPr="007D4673" w:rsidRDefault="000C4185" w:rsidP="00471D59">
      <w:pPr>
        <w:spacing w:line="240" w:lineRule="auto"/>
        <w:rPr>
          <w:sz w:val="20"/>
          <w:szCs w:val="20"/>
        </w:rPr>
      </w:pPr>
    </w:p>
    <w:p w14:paraId="7261E037" w14:textId="637FDDCC" w:rsidR="000C4185" w:rsidRPr="007D4673" w:rsidRDefault="00251F6E" w:rsidP="00471D59">
      <w:pPr>
        <w:spacing w:line="240" w:lineRule="auto"/>
        <w:rPr>
          <w:sz w:val="20"/>
          <w:szCs w:val="20"/>
        </w:rPr>
      </w:pPr>
      <w:r w:rsidRPr="007D4673">
        <w:rPr>
          <w:sz w:val="20"/>
        </w:rPr>
        <w:t xml:space="preserve">Le parlement devrait respecter des règles et des procédures claires concernant toutes </w:t>
      </w:r>
      <w:r w:rsidR="00133E2A" w:rsidRPr="007D4673">
        <w:rPr>
          <w:sz w:val="20"/>
        </w:rPr>
        <w:t>s</w:t>
      </w:r>
      <w:r w:rsidRPr="007D4673">
        <w:rPr>
          <w:sz w:val="20"/>
        </w:rPr>
        <w:t xml:space="preserve">es dépenses. La clarté des règles et des procédures est particulièrement importante en ce qui concerne le salaire et les indemnités versés aux </w:t>
      </w:r>
      <w:r w:rsidRPr="006F2799">
        <w:rPr>
          <w:sz w:val="20"/>
        </w:rPr>
        <w:t>parlementaires et à leurs collaborateurs, ainsi que</w:t>
      </w:r>
      <w:r w:rsidRPr="007D4673">
        <w:rPr>
          <w:sz w:val="20"/>
        </w:rPr>
        <w:t xml:space="preserve"> les dépenses en rapport avec les titulaires de charges parlementaires et les groupes politiques, sujets suscitant un </w:t>
      </w:r>
      <w:r w:rsidR="00133E2A" w:rsidRPr="007D4673">
        <w:rPr>
          <w:sz w:val="20"/>
        </w:rPr>
        <w:t xml:space="preserve">vif </w:t>
      </w:r>
      <w:r w:rsidRPr="007D4673">
        <w:rPr>
          <w:sz w:val="20"/>
        </w:rPr>
        <w:t xml:space="preserve">intérêt </w:t>
      </w:r>
      <w:r w:rsidR="00133E2A" w:rsidRPr="007D4673">
        <w:rPr>
          <w:sz w:val="20"/>
        </w:rPr>
        <w:t xml:space="preserve">de la part du </w:t>
      </w:r>
      <w:r w:rsidRPr="007D4673">
        <w:rPr>
          <w:sz w:val="20"/>
        </w:rPr>
        <w:t>public.</w:t>
      </w:r>
    </w:p>
    <w:p w14:paraId="2FE39FAF" w14:textId="77777777" w:rsidR="000C4185" w:rsidRPr="007D4673" w:rsidRDefault="000C4185" w:rsidP="00471D59">
      <w:pPr>
        <w:spacing w:line="240" w:lineRule="auto"/>
        <w:rPr>
          <w:sz w:val="20"/>
          <w:szCs w:val="20"/>
        </w:rPr>
      </w:pPr>
    </w:p>
    <w:p w14:paraId="4A71C03C" w14:textId="73F3497D" w:rsidR="000C4185" w:rsidRPr="007D4673" w:rsidRDefault="00251F6E" w:rsidP="00471D59">
      <w:pPr>
        <w:spacing w:line="240" w:lineRule="auto"/>
        <w:rPr>
          <w:sz w:val="20"/>
          <w:szCs w:val="20"/>
        </w:rPr>
      </w:pPr>
      <w:r w:rsidRPr="007D4673">
        <w:rPr>
          <w:sz w:val="20"/>
        </w:rPr>
        <w:t xml:space="preserve">Le parlement est tenu de rendre compte au public de ses dépenses dans tous les domaines couverts par son budget, notamment les activités, les services et la performance de l'administration parlementaire, ainsi que le salaire et les indemnités versées aux parlementaires et à leurs collaborateurs. Ces rapports devraient comporter des comparaisons avec les cycles précédents et les données devraient être présentées </w:t>
      </w:r>
      <w:r w:rsidR="00EC71D6" w:rsidRPr="007D4673">
        <w:rPr>
          <w:sz w:val="20"/>
        </w:rPr>
        <w:t xml:space="preserve">sous une forme </w:t>
      </w:r>
      <w:r w:rsidRPr="007D4673">
        <w:rPr>
          <w:sz w:val="20"/>
        </w:rPr>
        <w:t xml:space="preserve">simple facilitant la compréhension du public. </w:t>
      </w:r>
    </w:p>
    <w:p w14:paraId="08E89877" w14:textId="77777777" w:rsidR="000C4185" w:rsidRPr="007D4673" w:rsidRDefault="000C4185" w:rsidP="00471D59">
      <w:pPr>
        <w:spacing w:line="240" w:lineRule="auto"/>
        <w:rPr>
          <w:sz w:val="20"/>
          <w:szCs w:val="20"/>
        </w:rPr>
      </w:pPr>
    </w:p>
    <w:p w14:paraId="5E2DB876" w14:textId="58EFDB3E" w:rsidR="000C4185" w:rsidRPr="007D4673" w:rsidRDefault="00251F6E" w:rsidP="00471D59">
      <w:pPr>
        <w:spacing w:line="240" w:lineRule="auto"/>
        <w:rPr>
          <w:sz w:val="20"/>
        </w:rPr>
      </w:pPr>
      <w:r w:rsidRPr="007D4673">
        <w:rPr>
          <w:sz w:val="20"/>
        </w:rPr>
        <w:t>Les dépenses engag</w:t>
      </w:r>
      <w:r w:rsidR="00C016AF" w:rsidRPr="007D4673">
        <w:rPr>
          <w:sz w:val="20"/>
        </w:rPr>
        <w:t xml:space="preserve">eant des </w:t>
      </w:r>
      <w:r w:rsidRPr="007D4673">
        <w:rPr>
          <w:sz w:val="20"/>
        </w:rPr>
        <w:t>fonds parlementaires devraient aussi faire l'objet de divers degrés de contrôle, notamment des audits indépendants réguliers et le contrôle d'une ou de plusieurs commissions parlementaires. Les conclusions et les rapports de ces audits et de ces commissions devraient être accessibles au public.</w:t>
      </w:r>
    </w:p>
    <w:p w14:paraId="1B0A7FA7" w14:textId="77777777" w:rsidR="000C4185" w:rsidRPr="007D4673" w:rsidRDefault="000C4185" w:rsidP="00471D59">
      <w:pPr>
        <w:spacing w:line="240" w:lineRule="auto"/>
        <w:rPr>
          <w:sz w:val="20"/>
        </w:rPr>
      </w:pPr>
    </w:p>
    <w:p w14:paraId="7CCFFC03" w14:textId="575727CF" w:rsidR="000C4185" w:rsidRPr="007D4673" w:rsidRDefault="00251F6E" w:rsidP="00471D59">
      <w:pPr>
        <w:spacing w:line="240" w:lineRule="auto"/>
        <w:rPr>
          <w:sz w:val="18"/>
          <w:szCs w:val="18"/>
        </w:rPr>
      </w:pPr>
      <w:r w:rsidRPr="007D4673">
        <w:rPr>
          <w:sz w:val="20"/>
          <w:szCs w:val="20"/>
        </w:rPr>
        <w:t>Voir également l'</w:t>
      </w:r>
      <w:r w:rsidRPr="007D4673">
        <w:rPr>
          <w:i/>
          <w:sz w:val="20"/>
          <w:szCs w:val="20"/>
        </w:rPr>
        <w:t>aspect 1.1.3 :</w:t>
      </w:r>
      <w:r w:rsidRPr="007D4673">
        <w:rPr>
          <w:i/>
          <w:sz w:val="18"/>
          <w:szCs w:val="20"/>
        </w:rPr>
        <w:t xml:space="preserve"> </w:t>
      </w:r>
      <w:r w:rsidRPr="007D4673">
        <w:rPr>
          <w:i/>
          <w:sz w:val="20"/>
          <w:szCs w:val="20"/>
        </w:rPr>
        <w:t xml:space="preserve">Autonomie budgétaire </w:t>
      </w:r>
      <w:r w:rsidRPr="007D4673">
        <w:rPr>
          <w:sz w:val="20"/>
          <w:szCs w:val="20"/>
        </w:rPr>
        <w:t>et l</w:t>
      </w:r>
      <w:r w:rsidRPr="007D4673">
        <w:rPr>
          <w:sz w:val="20"/>
          <w:szCs w:val="20"/>
          <w:cs/>
        </w:rPr>
        <w:t>’</w:t>
      </w:r>
      <w:r w:rsidRPr="007D4673">
        <w:rPr>
          <w:i/>
          <w:sz w:val="20"/>
          <w:szCs w:val="20"/>
        </w:rPr>
        <w:t>aspect 2.1.4 :</w:t>
      </w:r>
      <w:r w:rsidRPr="007D4673">
        <w:rPr>
          <w:i/>
          <w:sz w:val="18"/>
          <w:szCs w:val="20"/>
        </w:rPr>
        <w:t xml:space="preserve"> </w:t>
      </w:r>
      <w:r w:rsidRPr="007D4673">
        <w:rPr>
          <w:i/>
          <w:sz w:val="20"/>
          <w:szCs w:val="20"/>
        </w:rPr>
        <w:t>Revenus des parlementaires et utilisation des ressources du parlement.</w:t>
      </w:r>
    </w:p>
    <w:p w14:paraId="5203F0D5" w14:textId="77777777" w:rsidR="000C4185" w:rsidRPr="007D4673" w:rsidRDefault="00251F6E" w:rsidP="00800F6F">
      <w:pPr>
        <w:pStyle w:val="section-title"/>
      </w:pPr>
      <w:r w:rsidRPr="007D467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71D59" w:rsidRPr="007D4673" w14:paraId="4858CA5D" w14:textId="77777777" w:rsidTr="00C33D32">
        <w:tc>
          <w:tcPr>
            <w:tcW w:w="5000" w:type="pct"/>
            <w:shd w:val="clear" w:color="auto" w:fill="EEEEEE"/>
          </w:tcPr>
          <w:p w14:paraId="7C3AEB06" w14:textId="77777777" w:rsidR="000C4185" w:rsidRPr="007D4673" w:rsidRDefault="00251F6E" w:rsidP="00471D59">
            <w:pPr>
              <w:spacing w:after="160" w:line="240" w:lineRule="auto"/>
              <w:rPr>
                <w:i/>
                <w:sz w:val="20"/>
                <w:szCs w:val="20"/>
              </w:rPr>
            </w:pPr>
            <w:r w:rsidRPr="007D4673">
              <w:rPr>
                <w:i/>
                <w:sz w:val="20"/>
              </w:rPr>
              <w:t>Après une analyse comparative, les parlements pourraient par exemple viser les objectifs suivants en ce qui concerne les dépenses du parlement :</w:t>
            </w:r>
          </w:p>
          <w:p w14:paraId="7B57489A" w14:textId="2D76C3D7" w:rsidR="000C4185" w:rsidRPr="007D4673" w:rsidRDefault="00251F6E" w:rsidP="00471D59">
            <w:pPr>
              <w:spacing w:line="240" w:lineRule="auto"/>
              <w:rPr>
                <w:sz w:val="20"/>
                <w:szCs w:val="20"/>
              </w:rPr>
            </w:pPr>
            <w:r w:rsidRPr="007D4673">
              <w:rPr>
                <w:sz w:val="20"/>
              </w:rPr>
              <w:t>Le parlement dispose de règles et de procédures claires et transparentes concernant les dépenses engage</w:t>
            </w:r>
            <w:r w:rsidR="00282497" w:rsidRPr="007D4673">
              <w:rPr>
                <w:sz w:val="20"/>
              </w:rPr>
              <w:t xml:space="preserve">ant des </w:t>
            </w:r>
            <w:r w:rsidRPr="007D4673">
              <w:rPr>
                <w:sz w:val="20"/>
              </w:rPr>
              <w:t>fonds parlementaires, notamment la rémunération et les indemnités versées aux parlementaires et à leurs collaborateurs, ainsi que les dépenses en rapport avec les titulaires de charges parlementaires et les partis et groupes politiques.</w:t>
            </w:r>
          </w:p>
          <w:p w14:paraId="5E892CDC" w14:textId="77777777" w:rsidR="000C4185" w:rsidRPr="007D4673" w:rsidRDefault="000C4185" w:rsidP="00471D59">
            <w:pPr>
              <w:spacing w:line="240" w:lineRule="auto"/>
              <w:rPr>
                <w:sz w:val="20"/>
                <w:szCs w:val="20"/>
              </w:rPr>
            </w:pPr>
          </w:p>
          <w:p w14:paraId="4F8AE9EF" w14:textId="77777777" w:rsidR="000C4185" w:rsidRPr="007D4673" w:rsidRDefault="00251F6E" w:rsidP="00471D59">
            <w:pPr>
              <w:spacing w:line="240" w:lineRule="auto"/>
              <w:rPr>
                <w:sz w:val="20"/>
                <w:szCs w:val="20"/>
              </w:rPr>
            </w:pPr>
            <w:r w:rsidRPr="007D4673">
              <w:rPr>
                <w:sz w:val="20"/>
              </w:rPr>
              <w:t>Le parlement est tenu de rendre régulièrement compte de ses dépenses au public.</w:t>
            </w:r>
          </w:p>
          <w:p w14:paraId="1F3D52E3" w14:textId="77777777" w:rsidR="000C4185" w:rsidRPr="007D4673" w:rsidRDefault="000C4185" w:rsidP="00471D59">
            <w:pPr>
              <w:spacing w:line="240" w:lineRule="auto"/>
              <w:rPr>
                <w:sz w:val="20"/>
                <w:szCs w:val="20"/>
              </w:rPr>
            </w:pPr>
          </w:p>
          <w:p w14:paraId="0EA198DF" w14:textId="77777777" w:rsidR="000C4185" w:rsidRPr="007D4673" w:rsidRDefault="00251F6E" w:rsidP="00471D59">
            <w:pPr>
              <w:spacing w:line="240" w:lineRule="auto"/>
              <w:rPr>
                <w:sz w:val="20"/>
              </w:rPr>
            </w:pPr>
            <w:r w:rsidRPr="007D4673">
              <w:rPr>
                <w:sz w:val="20"/>
              </w:rPr>
              <w:t>Les dépenses du parlement sont soumises à des audits indépendants réguliers. Les rapports d'audit sont rendus publics.</w:t>
            </w:r>
          </w:p>
          <w:p w14:paraId="687264A6" w14:textId="77777777" w:rsidR="000C4185" w:rsidRPr="007D4673" w:rsidRDefault="000C4185" w:rsidP="00471D59">
            <w:pPr>
              <w:spacing w:line="240" w:lineRule="auto"/>
              <w:rPr>
                <w:sz w:val="20"/>
              </w:rPr>
            </w:pPr>
          </w:p>
          <w:p w14:paraId="078C12A5" w14:textId="77777777" w:rsidR="000C4185" w:rsidRPr="007D4673" w:rsidRDefault="00251F6E" w:rsidP="00471D59">
            <w:pPr>
              <w:spacing w:line="240" w:lineRule="auto"/>
              <w:rPr>
                <w:sz w:val="20"/>
                <w:szCs w:val="20"/>
              </w:rPr>
            </w:pPr>
            <w:r w:rsidRPr="007D4673">
              <w:rPr>
                <w:sz w:val="20"/>
              </w:rPr>
              <w:t>Une commission parlementaire est chargée de contrôler ces dépenses, notamment en examinant dans le détail les rapports de l'administration parlementaire et les audits des dépenses. Les conclusions et les rapports des commissions sont rendus publics.</w:t>
            </w:r>
          </w:p>
          <w:p w14:paraId="23B3EB5B" w14:textId="77777777" w:rsidR="000C4185" w:rsidRPr="007D4673" w:rsidRDefault="000C4185" w:rsidP="007C6584">
            <w:pPr>
              <w:spacing w:line="240" w:lineRule="auto"/>
              <w:rPr>
                <w:color w:val="005F9A"/>
                <w:sz w:val="20"/>
                <w:szCs w:val="20"/>
              </w:rPr>
            </w:pPr>
          </w:p>
        </w:tc>
      </w:tr>
    </w:tbl>
    <w:p w14:paraId="1158367E" w14:textId="77777777" w:rsidR="000C4185" w:rsidRPr="007D4673" w:rsidRDefault="00251F6E" w:rsidP="00800F6F">
      <w:pPr>
        <w:pStyle w:val="section-title"/>
      </w:pPr>
      <w:r w:rsidRPr="007D4673">
        <w:t>Évaluation</w:t>
      </w:r>
    </w:p>
    <w:p w14:paraId="002F380C" w14:textId="77777777" w:rsidR="000C4185" w:rsidRPr="007D4673" w:rsidRDefault="00251F6E" w:rsidP="00471D59">
      <w:pPr>
        <w:spacing w:before="200" w:line="240" w:lineRule="auto"/>
        <w:rPr>
          <w:sz w:val="20"/>
          <w:szCs w:val="20"/>
        </w:rPr>
      </w:pPr>
      <w:r w:rsidRPr="007D4673">
        <w:rPr>
          <w:sz w:val="20"/>
        </w:rPr>
        <w:lastRenderedPageBreak/>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2E85E7A5" w14:textId="77777777" w:rsidR="000C4185" w:rsidRPr="007D4673" w:rsidRDefault="00251F6E" w:rsidP="00471D59">
      <w:pPr>
        <w:spacing w:before="200" w:line="240" w:lineRule="auto"/>
        <w:rPr>
          <w:sz w:val="20"/>
          <w:szCs w:val="20"/>
        </w:rPr>
      </w:pPr>
      <w:r w:rsidRPr="007D4673">
        <w:rPr>
          <w:sz w:val="20"/>
        </w:rPr>
        <w:t>Exemples d'éléments permettant d'étayer l'évaluation :</w:t>
      </w:r>
    </w:p>
    <w:p w14:paraId="62148320" w14:textId="77777777" w:rsidR="000C4185" w:rsidRPr="007D4673" w:rsidRDefault="000C4185" w:rsidP="00C33D32">
      <w:pPr>
        <w:spacing w:line="240" w:lineRule="auto"/>
        <w:ind w:left="562" w:hanging="562"/>
        <w:contextualSpacing/>
        <w:rPr>
          <w:sz w:val="20"/>
          <w:szCs w:val="20"/>
        </w:rPr>
      </w:pPr>
    </w:p>
    <w:p w14:paraId="47F75737" w14:textId="2EDA3FC0" w:rsidR="000C4185" w:rsidRPr="007D4673" w:rsidRDefault="00251F6E" w:rsidP="00C33D32">
      <w:pPr>
        <w:numPr>
          <w:ilvl w:val="0"/>
          <w:numId w:val="26"/>
        </w:numPr>
        <w:spacing w:line="240" w:lineRule="auto"/>
        <w:ind w:left="562" w:hanging="562"/>
        <w:contextualSpacing/>
        <w:rPr>
          <w:sz w:val="20"/>
          <w:szCs w:val="20"/>
        </w:rPr>
      </w:pPr>
      <w:r w:rsidRPr="007D4673">
        <w:rPr>
          <w:sz w:val="20"/>
        </w:rPr>
        <w:t>Dispositions du cadre juridique ou du règlement du parlement relatives à la redevabilité en matière de dépenses engage</w:t>
      </w:r>
      <w:r w:rsidR="00C016AF" w:rsidRPr="007D4673">
        <w:rPr>
          <w:sz w:val="20"/>
        </w:rPr>
        <w:t xml:space="preserve">ant </w:t>
      </w:r>
      <w:r w:rsidRPr="007D4673">
        <w:rPr>
          <w:sz w:val="20"/>
        </w:rPr>
        <w:t>des fonds parlementaires</w:t>
      </w:r>
    </w:p>
    <w:p w14:paraId="76D9A4BB" w14:textId="77777777" w:rsidR="000C4185" w:rsidRPr="006F2799" w:rsidRDefault="00251F6E" w:rsidP="00C33D32">
      <w:pPr>
        <w:numPr>
          <w:ilvl w:val="0"/>
          <w:numId w:val="26"/>
        </w:numPr>
        <w:spacing w:line="240" w:lineRule="auto"/>
        <w:ind w:left="562" w:hanging="562"/>
        <w:contextualSpacing/>
        <w:rPr>
          <w:sz w:val="20"/>
          <w:szCs w:val="20"/>
        </w:rPr>
      </w:pPr>
      <w:r w:rsidRPr="007D4673">
        <w:rPr>
          <w:sz w:val="20"/>
        </w:rPr>
        <w:t xml:space="preserve">Règles ou procédures portant spécifiquement sur le versement de la rémunération et des indemnités des </w:t>
      </w:r>
      <w:r w:rsidRPr="006F2799">
        <w:rPr>
          <w:sz w:val="20"/>
        </w:rPr>
        <w:t>parlementaires et de leurs collaborateurs</w:t>
      </w:r>
    </w:p>
    <w:p w14:paraId="16918C47" w14:textId="77777777" w:rsidR="000C4185" w:rsidRPr="006F2799" w:rsidRDefault="00251F6E" w:rsidP="00C33D32">
      <w:pPr>
        <w:numPr>
          <w:ilvl w:val="0"/>
          <w:numId w:val="26"/>
        </w:numPr>
        <w:spacing w:line="240" w:lineRule="auto"/>
        <w:ind w:left="562" w:hanging="562"/>
        <w:contextualSpacing/>
        <w:rPr>
          <w:sz w:val="20"/>
          <w:szCs w:val="20"/>
        </w:rPr>
      </w:pPr>
      <w:r w:rsidRPr="006F2799">
        <w:rPr>
          <w:sz w:val="20"/>
        </w:rPr>
        <w:t>Rapports et information du parlement concernant ses dépenses publiés sur son site web</w:t>
      </w:r>
    </w:p>
    <w:p w14:paraId="68BF3A76" w14:textId="77777777" w:rsidR="000C4185" w:rsidRPr="006F2799" w:rsidRDefault="00251F6E" w:rsidP="00C33D32">
      <w:pPr>
        <w:numPr>
          <w:ilvl w:val="0"/>
          <w:numId w:val="26"/>
        </w:numPr>
        <w:spacing w:line="240" w:lineRule="auto"/>
        <w:ind w:left="562" w:hanging="562"/>
        <w:contextualSpacing/>
        <w:rPr>
          <w:sz w:val="20"/>
          <w:szCs w:val="20"/>
        </w:rPr>
      </w:pPr>
      <w:r w:rsidRPr="006F2799">
        <w:rPr>
          <w:sz w:val="20"/>
        </w:rPr>
        <w:t>Rapports d'audit sur les dépenses du parlement ou sur la rémunération et les indemnités versées aux parlementaires et à leurs collaborateurs</w:t>
      </w:r>
    </w:p>
    <w:p w14:paraId="0B32A354" w14:textId="77777777" w:rsidR="000C4185" w:rsidRPr="007D4673" w:rsidRDefault="00251F6E" w:rsidP="00C33D32">
      <w:pPr>
        <w:numPr>
          <w:ilvl w:val="0"/>
          <w:numId w:val="26"/>
        </w:numPr>
        <w:spacing w:line="240" w:lineRule="auto"/>
        <w:ind w:left="562" w:hanging="562"/>
        <w:contextualSpacing/>
        <w:rPr>
          <w:sz w:val="20"/>
          <w:szCs w:val="20"/>
        </w:rPr>
      </w:pPr>
      <w:r w:rsidRPr="006F2799">
        <w:rPr>
          <w:sz w:val="20"/>
        </w:rPr>
        <w:t>Rapports d'une commission au moins chargée de contrôler</w:t>
      </w:r>
      <w:r w:rsidRPr="007D4673">
        <w:rPr>
          <w:sz w:val="20"/>
        </w:rPr>
        <w:t xml:space="preserve"> les dépenses du parlement</w:t>
      </w:r>
    </w:p>
    <w:p w14:paraId="30B0748E" w14:textId="77777777" w:rsidR="000C4185" w:rsidRPr="007D4673" w:rsidRDefault="000C4185" w:rsidP="00471D59">
      <w:pPr>
        <w:spacing w:line="240" w:lineRule="auto"/>
        <w:rPr>
          <w:sz w:val="20"/>
          <w:szCs w:val="20"/>
        </w:rPr>
      </w:pPr>
    </w:p>
    <w:p w14:paraId="7C743769" w14:textId="77777777" w:rsidR="000C4185" w:rsidRPr="007D4673" w:rsidRDefault="00251F6E" w:rsidP="00471D59">
      <w:pPr>
        <w:spacing w:line="240" w:lineRule="auto"/>
        <w:rPr>
          <w:sz w:val="20"/>
          <w:szCs w:val="20"/>
        </w:rPr>
      </w:pPr>
      <w:r w:rsidRPr="007D4673">
        <w:rPr>
          <w:sz w:val="20"/>
        </w:rPr>
        <w:t>Le cas échéant, merci de bien vouloir communiquer des observations ou exemples supplémentaires pour étayer l'évaluation.</w:t>
      </w:r>
    </w:p>
    <w:p w14:paraId="117EB075" w14:textId="77777777" w:rsidR="000C4185" w:rsidRPr="007D4673" w:rsidRDefault="000C4185" w:rsidP="00471D59">
      <w:pPr>
        <w:spacing w:line="240" w:lineRule="auto"/>
        <w:rPr>
          <w:sz w:val="20"/>
          <w:szCs w:val="20"/>
        </w:rPr>
      </w:pPr>
    </w:p>
    <w:p w14:paraId="44442EFA" w14:textId="77777777" w:rsidR="000C4185" w:rsidRPr="007D4673" w:rsidRDefault="00251F6E" w:rsidP="00D20D38">
      <w:pPr>
        <w:pStyle w:val="Titre4"/>
      </w:pPr>
      <w:bookmarkStart w:id="2" w:name="_miw8ox7kk7pi"/>
      <w:bookmarkEnd w:id="2"/>
      <w:r w:rsidRPr="007D4673">
        <w:t>Critère d'évaluation n° 1 : Règles et procédures</w:t>
      </w:r>
    </w:p>
    <w:p w14:paraId="06CB08B0" w14:textId="1C3FE8D3" w:rsidR="000C4185" w:rsidRPr="007D4673" w:rsidRDefault="00251F6E" w:rsidP="00471D59">
      <w:pPr>
        <w:spacing w:line="240" w:lineRule="auto"/>
        <w:rPr>
          <w:sz w:val="20"/>
          <w:szCs w:val="20"/>
        </w:rPr>
      </w:pPr>
      <w:r w:rsidRPr="007D4673">
        <w:rPr>
          <w:sz w:val="20"/>
        </w:rPr>
        <w:t>Le parlement dispose de règles et de procédures claires et transparentes concernant les dépenses engage</w:t>
      </w:r>
      <w:r w:rsidR="00A37A8C" w:rsidRPr="007D4673">
        <w:rPr>
          <w:sz w:val="20"/>
        </w:rPr>
        <w:t xml:space="preserve">ant </w:t>
      </w:r>
      <w:r w:rsidRPr="007D4673">
        <w:rPr>
          <w:sz w:val="20"/>
        </w:rPr>
        <w:t>des fonds parlementaires, notamment la rémunération et les indemnités versées aux parlementaires et à leurs collaborateurs, ainsi que les dépenses en rapport avec les titulaires de charges parlementaires et les partis et groupes politiques.</w:t>
      </w:r>
    </w:p>
    <w:p w14:paraId="3618EF93"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33D32" w:rsidRPr="007D4673" w14:paraId="431D3989"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5ABB79C" w14:textId="77777777" w:rsidR="000C4185" w:rsidRPr="007D4673" w:rsidRDefault="00251F6E">
            <w:pPr>
              <w:jc w:val="center"/>
              <w:rPr>
                <w:rFonts w:eastAsia="Calibri"/>
                <w:sz w:val="20"/>
                <w:szCs w:val="20"/>
              </w:rPr>
            </w:pPr>
            <w:r w:rsidRPr="007D4673">
              <w:rPr>
                <w:sz w:val="20"/>
              </w:rPr>
              <w:t>Néant</w:t>
            </w:r>
          </w:p>
          <w:p w14:paraId="57AFDA60"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05974B6" w14:textId="77777777" w:rsidR="000C4185" w:rsidRPr="007D4673" w:rsidRDefault="00251F6E">
            <w:pPr>
              <w:jc w:val="center"/>
              <w:rPr>
                <w:rFonts w:eastAsia="Calibri"/>
                <w:sz w:val="20"/>
                <w:szCs w:val="20"/>
              </w:rPr>
            </w:pPr>
            <w:r w:rsidRPr="007D4673">
              <w:rPr>
                <w:sz w:val="20"/>
              </w:rPr>
              <w:t xml:space="preserve">Médiocre </w:t>
            </w:r>
          </w:p>
          <w:p w14:paraId="52DF29CE"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53ACCF" w14:textId="77777777" w:rsidR="000C4185" w:rsidRPr="007D4673" w:rsidRDefault="00251F6E">
            <w:pPr>
              <w:jc w:val="center"/>
              <w:rPr>
                <w:rFonts w:eastAsia="Calibri"/>
                <w:sz w:val="20"/>
                <w:szCs w:val="20"/>
              </w:rPr>
            </w:pPr>
            <w:r w:rsidRPr="007D4673">
              <w:rPr>
                <w:sz w:val="20"/>
              </w:rPr>
              <w:t>Moyen</w:t>
            </w:r>
          </w:p>
          <w:p w14:paraId="63196D65"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86A09E" w14:textId="77777777" w:rsidR="000C4185" w:rsidRPr="007D4673" w:rsidRDefault="00251F6E">
            <w:pPr>
              <w:jc w:val="center"/>
              <w:rPr>
                <w:rFonts w:eastAsia="Calibri"/>
                <w:sz w:val="20"/>
                <w:szCs w:val="20"/>
              </w:rPr>
            </w:pPr>
            <w:r w:rsidRPr="007D4673">
              <w:rPr>
                <w:sz w:val="20"/>
              </w:rPr>
              <w:t>Bon</w:t>
            </w:r>
          </w:p>
          <w:p w14:paraId="04CCC0F1"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129479" w14:textId="77777777" w:rsidR="000C4185" w:rsidRPr="007D4673" w:rsidRDefault="00251F6E">
            <w:pPr>
              <w:jc w:val="center"/>
              <w:rPr>
                <w:rFonts w:eastAsia="Calibri"/>
                <w:sz w:val="20"/>
                <w:szCs w:val="20"/>
              </w:rPr>
            </w:pPr>
            <w:r w:rsidRPr="007D4673">
              <w:rPr>
                <w:sz w:val="20"/>
              </w:rPr>
              <w:t>Très bon</w:t>
            </w:r>
          </w:p>
          <w:p w14:paraId="69D6C543"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F5A9D56" w14:textId="77777777" w:rsidR="000C4185" w:rsidRPr="007D4673" w:rsidRDefault="00251F6E">
            <w:pPr>
              <w:jc w:val="center"/>
              <w:rPr>
                <w:rFonts w:eastAsia="Calibri"/>
                <w:sz w:val="20"/>
                <w:szCs w:val="20"/>
              </w:rPr>
            </w:pPr>
            <w:r w:rsidRPr="007D4673">
              <w:rPr>
                <w:sz w:val="20"/>
              </w:rPr>
              <w:t>Excellent</w:t>
            </w:r>
          </w:p>
          <w:p w14:paraId="0252F211"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C33D32" w:rsidRPr="007D4673" w14:paraId="12E8D7B4"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521ED" w14:textId="77777777" w:rsidR="000C4185" w:rsidRPr="007D4673" w:rsidRDefault="00251F6E">
            <w:pPr>
              <w:rPr>
                <w:rFonts w:eastAsia="Calibri"/>
                <w:color w:val="005F9A"/>
                <w:sz w:val="20"/>
                <w:szCs w:val="20"/>
              </w:rPr>
            </w:pPr>
            <w:r w:rsidRPr="007D4673">
              <w:rPr>
                <w:color w:val="005F9A"/>
                <w:sz w:val="20"/>
              </w:rPr>
              <w:t>Éléments à l'appui de l'évaluation :</w:t>
            </w:r>
          </w:p>
          <w:p w14:paraId="386353D2" w14:textId="77777777" w:rsidR="000C4185" w:rsidRPr="007D4673" w:rsidRDefault="000C4185">
            <w:pPr>
              <w:rPr>
                <w:rFonts w:eastAsia="Calibri"/>
                <w:color w:val="0000FF"/>
                <w:sz w:val="20"/>
                <w:szCs w:val="20"/>
              </w:rPr>
            </w:pPr>
          </w:p>
          <w:p w14:paraId="55936725" w14:textId="77777777" w:rsidR="000C4185" w:rsidRPr="007D4673" w:rsidRDefault="000C4185">
            <w:pPr>
              <w:rPr>
                <w:rFonts w:eastAsia="Calibri"/>
                <w:color w:val="0000FF"/>
                <w:sz w:val="20"/>
                <w:szCs w:val="20"/>
              </w:rPr>
            </w:pPr>
          </w:p>
        </w:tc>
      </w:tr>
    </w:tbl>
    <w:p w14:paraId="09A7BF07" w14:textId="77777777" w:rsidR="000C4185" w:rsidRPr="007D4673" w:rsidRDefault="00251F6E" w:rsidP="00D20D38">
      <w:pPr>
        <w:pStyle w:val="Titre4"/>
      </w:pPr>
      <w:bookmarkStart w:id="3" w:name="_wxt2hjkq5fnu"/>
      <w:bookmarkEnd w:id="3"/>
      <w:r w:rsidRPr="007D4673">
        <w:t xml:space="preserve">Critère d'évaluation n° 2 : Présentation de rapports au public </w:t>
      </w:r>
    </w:p>
    <w:p w14:paraId="03583096" w14:textId="77777777" w:rsidR="000C4185" w:rsidRPr="007D4673" w:rsidRDefault="00251F6E" w:rsidP="00471D59">
      <w:pPr>
        <w:spacing w:line="240" w:lineRule="auto"/>
        <w:rPr>
          <w:sz w:val="20"/>
          <w:szCs w:val="20"/>
        </w:rPr>
      </w:pPr>
      <w:r w:rsidRPr="007D4673">
        <w:rPr>
          <w:sz w:val="20"/>
        </w:rPr>
        <w:t xml:space="preserve">Le parlement est tenu de rendre régulièrement compte de ses dépenses au public. </w:t>
      </w:r>
    </w:p>
    <w:p w14:paraId="694C9114"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33D32" w:rsidRPr="007D4673" w14:paraId="6EDD33EC"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669B03" w14:textId="77777777" w:rsidR="000C4185" w:rsidRPr="007D4673" w:rsidRDefault="00251F6E">
            <w:pPr>
              <w:jc w:val="center"/>
              <w:rPr>
                <w:rFonts w:eastAsia="Calibri"/>
                <w:sz w:val="20"/>
                <w:szCs w:val="20"/>
              </w:rPr>
            </w:pPr>
            <w:r w:rsidRPr="007D4673">
              <w:rPr>
                <w:sz w:val="20"/>
              </w:rPr>
              <w:t>Néant</w:t>
            </w:r>
          </w:p>
          <w:p w14:paraId="30558766"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382E91" w14:textId="77777777" w:rsidR="000C4185" w:rsidRPr="007D4673" w:rsidRDefault="00251F6E">
            <w:pPr>
              <w:jc w:val="center"/>
              <w:rPr>
                <w:rFonts w:eastAsia="Calibri"/>
                <w:sz w:val="20"/>
                <w:szCs w:val="20"/>
              </w:rPr>
            </w:pPr>
            <w:r w:rsidRPr="007D4673">
              <w:rPr>
                <w:sz w:val="20"/>
              </w:rPr>
              <w:t xml:space="preserve">Médiocre </w:t>
            </w:r>
          </w:p>
          <w:p w14:paraId="725F5AB2"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275FB1" w14:textId="77777777" w:rsidR="000C4185" w:rsidRPr="007D4673" w:rsidRDefault="00251F6E">
            <w:pPr>
              <w:jc w:val="center"/>
              <w:rPr>
                <w:rFonts w:eastAsia="Calibri"/>
                <w:sz w:val="20"/>
                <w:szCs w:val="20"/>
              </w:rPr>
            </w:pPr>
            <w:r w:rsidRPr="007D4673">
              <w:rPr>
                <w:sz w:val="20"/>
              </w:rPr>
              <w:t>Moyen</w:t>
            </w:r>
          </w:p>
          <w:p w14:paraId="348EDB0C"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763BB7" w14:textId="77777777" w:rsidR="000C4185" w:rsidRPr="007D4673" w:rsidRDefault="00251F6E">
            <w:pPr>
              <w:jc w:val="center"/>
              <w:rPr>
                <w:rFonts w:eastAsia="Calibri"/>
                <w:sz w:val="20"/>
                <w:szCs w:val="20"/>
              </w:rPr>
            </w:pPr>
            <w:r w:rsidRPr="007D4673">
              <w:rPr>
                <w:sz w:val="20"/>
              </w:rPr>
              <w:t>Bon</w:t>
            </w:r>
          </w:p>
          <w:p w14:paraId="3DDDCBF3"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0E5F569" w14:textId="77777777" w:rsidR="000C4185" w:rsidRPr="007D4673" w:rsidRDefault="00251F6E">
            <w:pPr>
              <w:jc w:val="center"/>
              <w:rPr>
                <w:rFonts w:eastAsia="Calibri"/>
                <w:sz w:val="20"/>
                <w:szCs w:val="20"/>
              </w:rPr>
            </w:pPr>
            <w:r w:rsidRPr="007D4673">
              <w:rPr>
                <w:sz w:val="20"/>
              </w:rPr>
              <w:t>Très bon</w:t>
            </w:r>
          </w:p>
          <w:p w14:paraId="11045F3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FC67370" w14:textId="77777777" w:rsidR="000C4185" w:rsidRPr="007D4673" w:rsidRDefault="00251F6E">
            <w:pPr>
              <w:jc w:val="center"/>
              <w:rPr>
                <w:rFonts w:eastAsia="Calibri"/>
                <w:sz w:val="20"/>
                <w:szCs w:val="20"/>
              </w:rPr>
            </w:pPr>
            <w:r w:rsidRPr="007D4673">
              <w:rPr>
                <w:sz w:val="20"/>
              </w:rPr>
              <w:t>Excellent</w:t>
            </w:r>
          </w:p>
          <w:p w14:paraId="2B477195"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C33D32" w:rsidRPr="007D4673" w14:paraId="519C267B"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DD9EC" w14:textId="77777777" w:rsidR="000C4185" w:rsidRPr="007D4673" w:rsidRDefault="00251F6E">
            <w:pPr>
              <w:rPr>
                <w:rFonts w:eastAsia="Calibri"/>
                <w:color w:val="005F9A"/>
                <w:sz w:val="20"/>
                <w:szCs w:val="20"/>
              </w:rPr>
            </w:pPr>
            <w:r w:rsidRPr="007D4673">
              <w:rPr>
                <w:color w:val="005F9A"/>
                <w:sz w:val="20"/>
              </w:rPr>
              <w:t>Éléments à l'appui de l'évaluation :</w:t>
            </w:r>
          </w:p>
          <w:p w14:paraId="0F3E0FE0" w14:textId="77777777" w:rsidR="000C4185" w:rsidRPr="007D4673" w:rsidRDefault="000C4185">
            <w:pPr>
              <w:rPr>
                <w:rFonts w:eastAsia="Calibri"/>
                <w:color w:val="0000FF"/>
                <w:sz w:val="20"/>
                <w:szCs w:val="20"/>
              </w:rPr>
            </w:pPr>
          </w:p>
          <w:p w14:paraId="5AF3AF62" w14:textId="77777777" w:rsidR="000C4185" w:rsidRPr="007D4673" w:rsidRDefault="000C4185">
            <w:pPr>
              <w:rPr>
                <w:rFonts w:eastAsia="Calibri"/>
                <w:color w:val="0000FF"/>
                <w:sz w:val="20"/>
                <w:szCs w:val="20"/>
              </w:rPr>
            </w:pPr>
          </w:p>
        </w:tc>
      </w:tr>
    </w:tbl>
    <w:p w14:paraId="6E7D1B64" w14:textId="77777777" w:rsidR="000C4185" w:rsidRPr="007D4673" w:rsidRDefault="00251F6E" w:rsidP="00D20D38">
      <w:pPr>
        <w:pStyle w:val="Titre4"/>
      </w:pPr>
      <w:bookmarkStart w:id="4" w:name="_f8e2ib8988pc"/>
      <w:bookmarkEnd w:id="4"/>
      <w:r w:rsidRPr="007D4673">
        <w:t>Critère d'évaluation n° 3 : Audits indépendants</w:t>
      </w:r>
    </w:p>
    <w:p w14:paraId="5090BBF2" w14:textId="77777777" w:rsidR="000C4185" w:rsidRPr="007D4673" w:rsidRDefault="00251F6E" w:rsidP="00890FF6">
      <w:pPr>
        <w:spacing w:line="240" w:lineRule="auto"/>
        <w:rPr>
          <w:sz w:val="20"/>
        </w:rPr>
      </w:pPr>
      <w:r w:rsidRPr="007D4673">
        <w:rPr>
          <w:sz w:val="20"/>
        </w:rPr>
        <w:t>Les dépenses du parlement sont soumises à des audits indépendants réguliers. Les rapports d'audit sont rendus publics.</w:t>
      </w:r>
    </w:p>
    <w:p w14:paraId="5B870D0D"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33D32" w:rsidRPr="007D4673" w14:paraId="731FB38C"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0C9944" w14:textId="77777777" w:rsidR="000C4185" w:rsidRPr="007D4673" w:rsidRDefault="00251F6E">
            <w:pPr>
              <w:jc w:val="center"/>
              <w:rPr>
                <w:rFonts w:eastAsia="Calibri"/>
                <w:sz w:val="20"/>
                <w:szCs w:val="20"/>
              </w:rPr>
            </w:pPr>
            <w:r w:rsidRPr="007D4673">
              <w:rPr>
                <w:sz w:val="20"/>
              </w:rPr>
              <w:t>Néant</w:t>
            </w:r>
          </w:p>
          <w:p w14:paraId="6960B4F8"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0B842E" w14:textId="77777777" w:rsidR="000C4185" w:rsidRPr="007D4673" w:rsidRDefault="00251F6E">
            <w:pPr>
              <w:jc w:val="center"/>
              <w:rPr>
                <w:rFonts w:eastAsia="Calibri"/>
                <w:sz w:val="20"/>
                <w:szCs w:val="20"/>
              </w:rPr>
            </w:pPr>
            <w:r w:rsidRPr="007D4673">
              <w:rPr>
                <w:sz w:val="20"/>
              </w:rPr>
              <w:t xml:space="preserve">Médiocre </w:t>
            </w:r>
          </w:p>
          <w:p w14:paraId="5ADABCB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4878B4F" w14:textId="77777777" w:rsidR="000C4185" w:rsidRPr="007D4673" w:rsidRDefault="00251F6E">
            <w:pPr>
              <w:jc w:val="center"/>
              <w:rPr>
                <w:rFonts w:eastAsia="Calibri"/>
                <w:sz w:val="20"/>
                <w:szCs w:val="20"/>
              </w:rPr>
            </w:pPr>
            <w:r w:rsidRPr="007D4673">
              <w:rPr>
                <w:sz w:val="20"/>
              </w:rPr>
              <w:t>Moyen</w:t>
            </w:r>
          </w:p>
          <w:p w14:paraId="2EF817B6"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B27BED" w14:textId="77777777" w:rsidR="000C4185" w:rsidRPr="007D4673" w:rsidRDefault="00251F6E">
            <w:pPr>
              <w:jc w:val="center"/>
              <w:rPr>
                <w:rFonts w:eastAsia="Calibri"/>
                <w:sz w:val="20"/>
                <w:szCs w:val="20"/>
              </w:rPr>
            </w:pPr>
            <w:r w:rsidRPr="007D4673">
              <w:rPr>
                <w:sz w:val="20"/>
              </w:rPr>
              <w:t>Bon</w:t>
            </w:r>
          </w:p>
          <w:p w14:paraId="204938FF"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41C58E4" w14:textId="77777777" w:rsidR="000C4185" w:rsidRPr="007D4673" w:rsidRDefault="00251F6E">
            <w:pPr>
              <w:jc w:val="center"/>
              <w:rPr>
                <w:rFonts w:eastAsia="Calibri"/>
                <w:sz w:val="20"/>
                <w:szCs w:val="20"/>
              </w:rPr>
            </w:pPr>
            <w:r w:rsidRPr="007D4673">
              <w:rPr>
                <w:sz w:val="20"/>
              </w:rPr>
              <w:t>Très bon</w:t>
            </w:r>
          </w:p>
          <w:p w14:paraId="3E8AFCE4"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5149D67" w14:textId="77777777" w:rsidR="000C4185" w:rsidRPr="007D4673" w:rsidRDefault="00251F6E">
            <w:pPr>
              <w:jc w:val="center"/>
              <w:rPr>
                <w:rFonts w:eastAsia="Calibri"/>
                <w:sz w:val="20"/>
                <w:szCs w:val="20"/>
              </w:rPr>
            </w:pPr>
            <w:r w:rsidRPr="007D4673">
              <w:rPr>
                <w:sz w:val="20"/>
              </w:rPr>
              <w:t>Excellent</w:t>
            </w:r>
          </w:p>
          <w:p w14:paraId="32E76BCF"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C33D32" w:rsidRPr="007D4673" w14:paraId="558B86FC"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7E96A" w14:textId="77777777" w:rsidR="000C4185" w:rsidRPr="007D4673" w:rsidRDefault="00251F6E">
            <w:pPr>
              <w:rPr>
                <w:rFonts w:eastAsia="Calibri"/>
                <w:color w:val="005F9A"/>
                <w:sz w:val="20"/>
                <w:szCs w:val="20"/>
              </w:rPr>
            </w:pPr>
            <w:r w:rsidRPr="007D4673">
              <w:rPr>
                <w:color w:val="005F9A"/>
                <w:sz w:val="20"/>
              </w:rPr>
              <w:lastRenderedPageBreak/>
              <w:t>Éléments à l'appui de l'évaluation :</w:t>
            </w:r>
          </w:p>
          <w:p w14:paraId="56023C2E" w14:textId="77777777" w:rsidR="000C4185" w:rsidRPr="007D4673" w:rsidRDefault="000C4185">
            <w:pPr>
              <w:rPr>
                <w:rFonts w:eastAsia="Calibri"/>
                <w:color w:val="0000FF"/>
                <w:sz w:val="20"/>
                <w:szCs w:val="20"/>
              </w:rPr>
            </w:pPr>
          </w:p>
          <w:p w14:paraId="2ECBA527" w14:textId="77777777" w:rsidR="000C4185" w:rsidRPr="007D4673" w:rsidRDefault="000C4185">
            <w:pPr>
              <w:rPr>
                <w:rFonts w:eastAsia="Calibri"/>
                <w:color w:val="0000FF"/>
                <w:sz w:val="20"/>
                <w:szCs w:val="20"/>
              </w:rPr>
            </w:pPr>
          </w:p>
        </w:tc>
      </w:tr>
    </w:tbl>
    <w:p w14:paraId="64C645C4" w14:textId="77777777" w:rsidR="000C4185" w:rsidRPr="007D4673" w:rsidRDefault="00251F6E" w:rsidP="00D20D38">
      <w:pPr>
        <w:pStyle w:val="Titre4"/>
      </w:pPr>
      <w:bookmarkStart w:id="5" w:name="_80djy5okx9un"/>
      <w:bookmarkEnd w:id="5"/>
      <w:r w:rsidRPr="007D4673">
        <w:t>Critère d'évaluation n° 4 : Contrôle</w:t>
      </w:r>
    </w:p>
    <w:p w14:paraId="256F5057" w14:textId="5AD3AD29" w:rsidR="000C4185" w:rsidRPr="007D4673" w:rsidRDefault="00251F6E" w:rsidP="00890FF6">
      <w:pPr>
        <w:spacing w:line="240" w:lineRule="auto"/>
        <w:rPr>
          <w:sz w:val="20"/>
          <w:szCs w:val="20"/>
        </w:rPr>
      </w:pPr>
      <w:r w:rsidRPr="007D4673">
        <w:rPr>
          <w:sz w:val="20"/>
        </w:rPr>
        <w:t>Une commission parlementaire est chargé</w:t>
      </w:r>
      <w:r w:rsidR="00A37A8C" w:rsidRPr="007D4673">
        <w:rPr>
          <w:sz w:val="20"/>
        </w:rPr>
        <w:t>e</w:t>
      </w:r>
      <w:r w:rsidRPr="007D4673">
        <w:rPr>
          <w:sz w:val="20"/>
        </w:rPr>
        <w:t xml:space="preserve"> de contrôler les dépenses, notamment en examinant dans le détail les rapports de l'administration parlementaire et les audits des dépenses. Les conclusions et les rapports des commissions sont rendus publics.</w:t>
      </w:r>
    </w:p>
    <w:p w14:paraId="3A69CECE"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33D32" w:rsidRPr="007D4673" w14:paraId="20354503" w14:textId="77777777" w:rsidTr="00C33D32">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82F8D54" w14:textId="77777777" w:rsidR="000C4185" w:rsidRPr="007D4673" w:rsidRDefault="00251F6E">
            <w:pPr>
              <w:jc w:val="center"/>
              <w:rPr>
                <w:rFonts w:eastAsia="Calibri"/>
                <w:sz w:val="20"/>
                <w:szCs w:val="20"/>
              </w:rPr>
            </w:pPr>
            <w:r w:rsidRPr="007D4673">
              <w:rPr>
                <w:sz w:val="20"/>
              </w:rPr>
              <w:t>Néant</w:t>
            </w:r>
          </w:p>
          <w:p w14:paraId="234D96D9"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A0D9AC" w14:textId="77777777" w:rsidR="000C4185" w:rsidRPr="007D4673" w:rsidRDefault="00251F6E">
            <w:pPr>
              <w:jc w:val="center"/>
              <w:rPr>
                <w:rFonts w:eastAsia="Calibri"/>
                <w:sz w:val="20"/>
                <w:szCs w:val="20"/>
              </w:rPr>
            </w:pPr>
            <w:r w:rsidRPr="007D4673">
              <w:rPr>
                <w:sz w:val="20"/>
              </w:rPr>
              <w:t xml:space="preserve">Médiocre </w:t>
            </w:r>
          </w:p>
          <w:p w14:paraId="1FCB8955"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E604071" w14:textId="77777777" w:rsidR="000C4185" w:rsidRPr="007D4673" w:rsidRDefault="00251F6E">
            <w:pPr>
              <w:jc w:val="center"/>
              <w:rPr>
                <w:rFonts w:eastAsia="Calibri"/>
                <w:sz w:val="20"/>
                <w:szCs w:val="20"/>
              </w:rPr>
            </w:pPr>
            <w:r w:rsidRPr="007D4673">
              <w:rPr>
                <w:sz w:val="20"/>
              </w:rPr>
              <w:t>Moyen</w:t>
            </w:r>
          </w:p>
          <w:p w14:paraId="2D952297"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D5CD824" w14:textId="77777777" w:rsidR="000C4185" w:rsidRPr="007D4673" w:rsidRDefault="00251F6E">
            <w:pPr>
              <w:jc w:val="center"/>
              <w:rPr>
                <w:rFonts w:eastAsia="Calibri"/>
                <w:sz w:val="20"/>
                <w:szCs w:val="20"/>
              </w:rPr>
            </w:pPr>
            <w:r w:rsidRPr="007D4673">
              <w:rPr>
                <w:sz w:val="20"/>
              </w:rPr>
              <w:t>Bon</w:t>
            </w:r>
          </w:p>
          <w:p w14:paraId="7DDCBC62"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33FD9B" w14:textId="77777777" w:rsidR="000C4185" w:rsidRPr="007D4673" w:rsidRDefault="00251F6E">
            <w:pPr>
              <w:jc w:val="center"/>
              <w:rPr>
                <w:rFonts w:eastAsia="Calibri"/>
                <w:sz w:val="20"/>
                <w:szCs w:val="20"/>
              </w:rPr>
            </w:pPr>
            <w:r w:rsidRPr="007D4673">
              <w:rPr>
                <w:sz w:val="20"/>
              </w:rPr>
              <w:t>Très bon</w:t>
            </w:r>
          </w:p>
          <w:p w14:paraId="1D94DC7B"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2DB24DC" w14:textId="77777777" w:rsidR="000C4185" w:rsidRPr="007D4673" w:rsidRDefault="00251F6E">
            <w:pPr>
              <w:jc w:val="center"/>
              <w:rPr>
                <w:rFonts w:eastAsia="Calibri"/>
                <w:sz w:val="20"/>
                <w:szCs w:val="20"/>
              </w:rPr>
            </w:pPr>
            <w:r w:rsidRPr="007D4673">
              <w:rPr>
                <w:sz w:val="20"/>
              </w:rPr>
              <w:t>Excellent</w:t>
            </w:r>
          </w:p>
          <w:p w14:paraId="5C220561"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C33D32" w:rsidRPr="007D4673" w14:paraId="1A36006C" w14:textId="77777777" w:rsidTr="00C33D32">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557B6" w14:textId="77777777" w:rsidR="000C4185" w:rsidRPr="007D4673" w:rsidRDefault="00251F6E">
            <w:pPr>
              <w:rPr>
                <w:rFonts w:eastAsia="Calibri"/>
                <w:color w:val="005F9A"/>
                <w:sz w:val="20"/>
                <w:szCs w:val="20"/>
              </w:rPr>
            </w:pPr>
            <w:r w:rsidRPr="007D4673">
              <w:rPr>
                <w:color w:val="005F9A"/>
                <w:sz w:val="20"/>
              </w:rPr>
              <w:t>Éléments à l'appui de l'évaluation :</w:t>
            </w:r>
          </w:p>
          <w:p w14:paraId="0022AFDF" w14:textId="77777777" w:rsidR="000C4185" w:rsidRPr="007D4673" w:rsidRDefault="000C4185">
            <w:pPr>
              <w:rPr>
                <w:rFonts w:eastAsia="Calibri"/>
                <w:color w:val="0000FF"/>
                <w:sz w:val="20"/>
                <w:szCs w:val="20"/>
              </w:rPr>
            </w:pPr>
          </w:p>
          <w:p w14:paraId="4DC1ADD1" w14:textId="77777777" w:rsidR="000C4185" w:rsidRPr="007D4673" w:rsidRDefault="000C4185">
            <w:pPr>
              <w:rPr>
                <w:rFonts w:eastAsia="Calibri"/>
                <w:color w:val="0000FF"/>
                <w:sz w:val="20"/>
                <w:szCs w:val="20"/>
              </w:rPr>
            </w:pPr>
          </w:p>
        </w:tc>
      </w:tr>
    </w:tbl>
    <w:p w14:paraId="24BAFAC4" w14:textId="77777777" w:rsidR="000C4185" w:rsidRPr="007D4673" w:rsidRDefault="000C4185" w:rsidP="00471D59">
      <w:pPr>
        <w:spacing w:line="240" w:lineRule="auto"/>
        <w:rPr>
          <w:sz w:val="20"/>
          <w:szCs w:val="20"/>
        </w:rPr>
      </w:pPr>
      <w:bookmarkStart w:id="6" w:name="_gj0842qxy27z"/>
      <w:bookmarkStart w:id="7" w:name="_lnxbz9"/>
      <w:bookmarkEnd w:id="6"/>
      <w:bookmarkEnd w:id="7"/>
    </w:p>
    <w:p w14:paraId="3432E847" w14:textId="77777777" w:rsidR="000C4185" w:rsidRPr="007D4673" w:rsidRDefault="00251F6E" w:rsidP="001C68E5">
      <w:pPr>
        <w:keepNext/>
        <w:spacing w:before="200" w:after="200" w:line="240" w:lineRule="auto"/>
        <w:contextualSpacing/>
        <w:rPr>
          <w:b/>
        </w:rPr>
      </w:pPr>
      <w:bookmarkStart w:id="8" w:name="_35nkun2"/>
      <w:bookmarkStart w:id="9" w:name="_1ksv4uv"/>
      <w:bookmarkEnd w:id="8"/>
      <w:bookmarkEnd w:id="9"/>
      <w:r w:rsidRPr="007D4673">
        <w:rPr>
          <w:b/>
        </w:rPr>
        <w:t>Réformes envisageables</w:t>
      </w:r>
    </w:p>
    <w:p w14:paraId="2005B2AD" w14:textId="77777777" w:rsidR="000C4185" w:rsidRPr="007D4673" w:rsidRDefault="000C4185" w:rsidP="001C68E5">
      <w:pPr>
        <w:keepNext/>
        <w:spacing w:before="200" w:after="200" w:line="240" w:lineRule="auto"/>
        <w:contextualSpacing/>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C68E5" w:rsidRPr="007D4673" w14:paraId="5F8CACBB" w14:textId="77777777" w:rsidTr="006400C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5A46A3F" w14:textId="77777777" w:rsidR="000C4185" w:rsidRPr="007D4673" w:rsidRDefault="00251F6E" w:rsidP="006400CE">
            <w:pPr>
              <w:keepNext/>
              <w:spacing w:line="240" w:lineRule="auto"/>
              <w:rPr>
                <w:rFonts w:eastAsia="Calibri" w:cs="Calibri"/>
                <w:sz w:val="20"/>
                <w:szCs w:val="20"/>
              </w:rPr>
            </w:pPr>
            <w:r w:rsidRPr="007D4673">
              <w:rPr>
                <w:i/>
                <w:color w:val="000000"/>
                <w:sz w:val="20"/>
              </w:rPr>
              <w:t>Dans cet encadré, notez les recommandations et les idées visant à renforcer les règles et la pratique dans ce domaine.</w:t>
            </w:r>
          </w:p>
        </w:tc>
      </w:tr>
    </w:tbl>
    <w:p w14:paraId="32CB6477" w14:textId="77777777" w:rsidR="000C4185" w:rsidRPr="007D4673" w:rsidRDefault="00251F6E" w:rsidP="00800F6F">
      <w:pPr>
        <w:pStyle w:val="section-title"/>
      </w:pPr>
      <w:bookmarkStart w:id="10" w:name="_44sinio"/>
      <w:bookmarkEnd w:id="10"/>
      <w:r w:rsidRPr="007D4673">
        <w:t>Sources et autre documentation</w:t>
      </w:r>
    </w:p>
    <w:p w14:paraId="71408B31" w14:textId="2CDEB5AC" w:rsidR="00237E43" w:rsidRPr="007D4673" w:rsidRDefault="00237E43" w:rsidP="00237E43">
      <w:pPr>
        <w:numPr>
          <w:ilvl w:val="0"/>
          <w:numId w:val="32"/>
        </w:numPr>
        <w:spacing w:line="240" w:lineRule="auto"/>
        <w:ind w:left="562" w:hanging="562"/>
        <w:rPr>
          <w:sz w:val="20"/>
          <w:szCs w:val="20"/>
        </w:rPr>
      </w:pPr>
      <w:r w:rsidRPr="007D4673">
        <w:rPr>
          <w:sz w:val="20"/>
        </w:rPr>
        <w:t>Association parlementaire du Commonwealth (A</w:t>
      </w:r>
      <w:r w:rsidR="00DA7BE8">
        <w:rPr>
          <w:sz w:val="20"/>
        </w:rPr>
        <w:t>PC</w:t>
      </w:r>
      <w:r w:rsidRPr="007D4673">
        <w:rPr>
          <w:sz w:val="20"/>
        </w:rPr>
        <w:t>),</w:t>
      </w:r>
      <w:hyperlink r:id="rId10">
        <w:r w:rsidRPr="007D4673">
          <w:t xml:space="preserve"> </w:t>
        </w:r>
      </w:hyperlink>
      <w:hyperlink r:id="rId11">
        <w:r w:rsidRPr="007D4673">
          <w:rPr>
            <w:i/>
            <w:color w:val="1155CC"/>
            <w:sz w:val="20"/>
            <w:u w:val="single"/>
          </w:rPr>
          <w:t>Recommended Benchmarks for Democratic Legislators</w:t>
        </w:r>
      </w:hyperlink>
      <w:r w:rsidR="00DA7BE8">
        <w:rPr>
          <w:sz w:val="20"/>
        </w:rPr>
        <w:t xml:space="preserve">, </w:t>
      </w:r>
      <w:r w:rsidRPr="007D4673">
        <w:rPr>
          <w:sz w:val="20"/>
        </w:rPr>
        <w:t>édition révisée (2018).</w:t>
      </w:r>
    </w:p>
    <w:p w14:paraId="28E2C4A7" w14:textId="48293E1C" w:rsidR="000C4185" w:rsidRPr="007D4673" w:rsidRDefault="00251F6E" w:rsidP="00237E43">
      <w:pPr>
        <w:numPr>
          <w:ilvl w:val="0"/>
          <w:numId w:val="32"/>
        </w:numPr>
        <w:spacing w:line="240" w:lineRule="auto"/>
        <w:ind w:left="562" w:hanging="562"/>
        <w:rPr>
          <w:sz w:val="20"/>
          <w:szCs w:val="20"/>
        </w:rPr>
      </w:pPr>
      <w:r w:rsidRPr="007D4673">
        <w:rPr>
          <w:sz w:val="20"/>
        </w:rPr>
        <w:t>Beetham</w:t>
      </w:r>
      <w:r w:rsidR="00237E43" w:rsidRPr="007D4673">
        <w:rPr>
          <w:sz w:val="20"/>
        </w:rPr>
        <w:t xml:space="preserve"> David</w:t>
      </w:r>
      <w:r w:rsidRPr="007D4673">
        <w:rPr>
          <w:sz w:val="20"/>
        </w:rPr>
        <w:t>,</w:t>
      </w:r>
      <w:hyperlink r:id="rId12">
        <w:r w:rsidRPr="007D4673">
          <w:t xml:space="preserve"> </w:t>
        </w:r>
      </w:hyperlink>
      <w:hyperlink r:id="rId13">
        <w:r w:rsidRPr="007D4673">
          <w:rPr>
            <w:i/>
            <w:color w:val="0563C1"/>
            <w:sz w:val="20"/>
            <w:u w:val="single"/>
          </w:rPr>
          <w:t>Parlement et démocratie au XXI</w:t>
        </w:r>
        <w:r w:rsidRPr="007D4673">
          <w:rPr>
            <w:i/>
            <w:color w:val="0563C1"/>
            <w:sz w:val="20"/>
            <w:u w:val="single"/>
            <w:vertAlign w:val="superscript"/>
          </w:rPr>
          <w:t>e</w:t>
        </w:r>
        <w:r w:rsidRPr="007D4673">
          <w:rPr>
            <w:i/>
            <w:color w:val="0563C1"/>
            <w:sz w:val="20"/>
            <w:u w:val="single"/>
          </w:rPr>
          <w:t xml:space="preserve"> siècle :</w:t>
        </w:r>
      </w:hyperlink>
      <w:hyperlink r:id="rId14">
        <w:r w:rsidRPr="007D4673">
          <w:rPr>
            <w:i/>
            <w:color w:val="0563C1"/>
            <w:sz w:val="20"/>
            <w:u w:val="single"/>
          </w:rPr>
          <w:t xml:space="preserve"> guide des bonnes pratiques</w:t>
        </w:r>
      </w:hyperlink>
      <w:r w:rsidRPr="007D4673">
        <w:rPr>
          <w:sz w:val="20"/>
        </w:rPr>
        <w:t xml:space="preserve"> (2006).</w:t>
      </w:r>
    </w:p>
    <w:p w14:paraId="1E9F0DFE" w14:textId="77777777" w:rsidR="000C4185" w:rsidRPr="00251F6E" w:rsidRDefault="00251F6E" w:rsidP="001C68E5">
      <w:pPr>
        <w:numPr>
          <w:ilvl w:val="0"/>
          <w:numId w:val="32"/>
        </w:numPr>
        <w:spacing w:line="240" w:lineRule="auto"/>
        <w:ind w:left="562" w:hanging="562"/>
        <w:rPr>
          <w:sz w:val="20"/>
          <w:szCs w:val="20"/>
          <w:lang w:val="en-US"/>
        </w:rPr>
      </w:pPr>
      <w:r w:rsidRPr="00251F6E">
        <w:rPr>
          <w:sz w:val="20"/>
          <w:lang w:val="en-US"/>
        </w:rPr>
        <w:t xml:space="preserve">Institut national </w:t>
      </w:r>
      <w:proofErr w:type="spellStart"/>
      <w:r w:rsidRPr="00251F6E">
        <w:rPr>
          <w:sz w:val="20"/>
          <w:lang w:val="en-US"/>
        </w:rPr>
        <w:t>démocratique</w:t>
      </w:r>
      <w:proofErr w:type="spellEnd"/>
      <w:r w:rsidRPr="00251F6E">
        <w:rPr>
          <w:sz w:val="20"/>
          <w:lang w:val="en-US"/>
        </w:rPr>
        <w:t xml:space="preserve"> (NDI), </w:t>
      </w:r>
      <w:hyperlink r:id="rId15">
        <w:r w:rsidRPr="00251F6E">
          <w:rPr>
            <w:i/>
            <w:color w:val="1155CC"/>
            <w:sz w:val="20"/>
            <w:u w:val="single"/>
            <w:lang w:val="en-US"/>
          </w:rPr>
          <w:t>Towards the Development of International Standards for Democratic Legislatures</w:t>
        </w:r>
      </w:hyperlink>
      <w:r w:rsidRPr="00251F6E">
        <w:rPr>
          <w:sz w:val="20"/>
          <w:lang w:val="en-US"/>
        </w:rPr>
        <w:t xml:space="preserve"> (2007)</w:t>
      </w:r>
      <w:r w:rsidRPr="00251F6E">
        <w:rPr>
          <w:lang w:val="en-US"/>
        </w:rPr>
        <w:t>.</w:t>
      </w:r>
    </w:p>
    <w:p w14:paraId="56E87C26" w14:textId="77777777" w:rsidR="000C4185" w:rsidRPr="00251F6E" w:rsidRDefault="000C4185" w:rsidP="00471D59">
      <w:pPr>
        <w:spacing w:line="240" w:lineRule="auto"/>
        <w:rPr>
          <w:sz w:val="20"/>
          <w:szCs w:val="20"/>
          <w:lang w:val="en-US"/>
        </w:rPr>
      </w:pPr>
    </w:p>
    <w:p w14:paraId="2FEFA475" w14:textId="77777777" w:rsidR="000C4185" w:rsidRPr="007D4673" w:rsidRDefault="00251F6E" w:rsidP="00800F6F">
      <w:pPr>
        <w:pStyle w:val="Dimension"/>
        <w:rPr>
          <w:szCs w:val="24"/>
        </w:rPr>
      </w:pPr>
      <w:bookmarkStart w:id="11" w:name="_2jxsxqh"/>
      <w:bookmarkEnd w:id="11"/>
      <w:r w:rsidRPr="007D4673">
        <w:lastRenderedPageBreak/>
        <w:t>Aspect 2.2.2 : Passation de marchés publics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471D59" w:rsidRPr="007D4673" w14:paraId="55825B81" w14:textId="77777777" w:rsidTr="006400CE">
        <w:tc>
          <w:tcPr>
            <w:tcW w:w="9350" w:type="dxa"/>
            <w:shd w:val="clear" w:color="auto" w:fill="EEEEEE"/>
          </w:tcPr>
          <w:p w14:paraId="1784F080" w14:textId="77777777" w:rsidR="000C4185" w:rsidRPr="007D4673" w:rsidRDefault="00251F6E" w:rsidP="006400CE">
            <w:pPr>
              <w:spacing w:line="240" w:lineRule="auto"/>
              <w:rPr>
                <w:sz w:val="20"/>
                <w:szCs w:val="20"/>
              </w:rPr>
            </w:pPr>
            <w:r w:rsidRPr="007D4673">
              <w:rPr>
                <w:sz w:val="20"/>
              </w:rPr>
              <w:t>Cet aspect s'applique aux éléments suivants :</w:t>
            </w:r>
          </w:p>
          <w:p w14:paraId="620B29BA" w14:textId="77777777" w:rsidR="000C4185" w:rsidRPr="007D4673" w:rsidRDefault="00251F6E" w:rsidP="006400CE">
            <w:pPr>
              <w:pStyle w:val="Paragraphedeliste"/>
              <w:numPr>
                <w:ilvl w:val="0"/>
                <w:numId w:val="8"/>
              </w:numPr>
              <w:spacing w:line="240" w:lineRule="auto"/>
              <w:rPr>
                <w:rFonts w:eastAsia="Calibri" w:cs="Calibri"/>
                <w:sz w:val="20"/>
                <w:szCs w:val="20"/>
              </w:rPr>
            </w:pPr>
            <w:r w:rsidRPr="007D4673">
              <w:rPr>
                <w:sz w:val="20"/>
              </w:rPr>
              <w:t>Indicateur 2.2 : Intégrité institutionnelle</w:t>
            </w:r>
          </w:p>
          <w:p w14:paraId="614CAC7F" w14:textId="77777777" w:rsidR="000C4185" w:rsidRPr="007D4673" w:rsidRDefault="00251F6E" w:rsidP="006400CE">
            <w:pPr>
              <w:pStyle w:val="Paragraphedeliste"/>
              <w:numPr>
                <w:ilvl w:val="0"/>
                <w:numId w:val="8"/>
              </w:numPr>
              <w:spacing w:line="240" w:lineRule="auto"/>
              <w:rPr>
                <w:rFonts w:eastAsia="Calibri" w:cs="Calibri"/>
                <w:sz w:val="24"/>
                <w:szCs w:val="20"/>
              </w:rPr>
            </w:pPr>
            <w:r w:rsidRPr="007D4673">
              <w:rPr>
                <w:sz w:val="20"/>
              </w:rPr>
              <w:t>Cible 2 : Des parlements responsables</w:t>
            </w:r>
          </w:p>
        </w:tc>
      </w:tr>
    </w:tbl>
    <w:p w14:paraId="04FD35C4" w14:textId="77777777" w:rsidR="000C4185" w:rsidRPr="007D4673" w:rsidRDefault="00251F6E" w:rsidP="00800F6F">
      <w:pPr>
        <w:pStyle w:val="section-title"/>
      </w:pPr>
      <w:r w:rsidRPr="007D4673">
        <w:t>À propos de l'aspect</w:t>
      </w:r>
    </w:p>
    <w:p w14:paraId="010441C6" w14:textId="0900B2CE" w:rsidR="000C4185" w:rsidRPr="007D4673" w:rsidRDefault="00251F6E" w:rsidP="00471D59">
      <w:pPr>
        <w:spacing w:line="240" w:lineRule="auto"/>
        <w:rPr>
          <w:sz w:val="20"/>
        </w:rPr>
      </w:pPr>
      <w:r w:rsidRPr="007D4673">
        <w:rPr>
          <w:sz w:val="20"/>
        </w:rPr>
        <w:t>Cet aspect concerne la passation par le parlement de marchés publics, qui devrait respecter une procédure appropriée, transparente et co</w:t>
      </w:r>
      <w:r w:rsidR="00B54F55" w:rsidRPr="007D4673">
        <w:rPr>
          <w:sz w:val="20"/>
        </w:rPr>
        <w:t>ncurrentielle</w:t>
      </w:r>
      <w:r w:rsidRPr="007D4673">
        <w:rPr>
          <w:sz w:val="20"/>
        </w:rPr>
        <w:t>.</w:t>
      </w:r>
    </w:p>
    <w:p w14:paraId="1B5C0ACB" w14:textId="77777777" w:rsidR="000C4185" w:rsidRPr="007D4673" w:rsidRDefault="000C4185" w:rsidP="00471D59">
      <w:pPr>
        <w:spacing w:line="240" w:lineRule="auto"/>
        <w:rPr>
          <w:sz w:val="20"/>
        </w:rPr>
      </w:pPr>
    </w:p>
    <w:p w14:paraId="3516DAA0" w14:textId="1FF45CB7" w:rsidR="000C4185" w:rsidRPr="007D4673" w:rsidRDefault="00251F6E" w:rsidP="00471D59">
      <w:pPr>
        <w:spacing w:line="240" w:lineRule="auto"/>
        <w:rPr>
          <w:sz w:val="20"/>
        </w:rPr>
      </w:pPr>
      <w:r w:rsidRPr="007D4673">
        <w:rPr>
          <w:sz w:val="20"/>
        </w:rPr>
        <w:t xml:space="preserve">Dans certains cas, cette passation de marchés peut relever d'un cadre juridique s'appliquant à toutes les institutions financées par des dotations publiques. Toutefois, certains parlements ont adopté en matière de passation de marchés </w:t>
      </w:r>
      <w:r w:rsidR="001E4492">
        <w:rPr>
          <w:sz w:val="20"/>
        </w:rPr>
        <w:t xml:space="preserve">les concernant </w:t>
      </w:r>
      <w:r w:rsidRPr="007D4673">
        <w:rPr>
          <w:sz w:val="20"/>
        </w:rPr>
        <w:t xml:space="preserve">un cadre juridique distinct répondant </w:t>
      </w:r>
      <w:r w:rsidR="001E4492">
        <w:rPr>
          <w:sz w:val="20"/>
        </w:rPr>
        <w:t xml:space="preserve">à leurs </w:t>
      </w:r>
      <w:r w:rsidRPr="007D4673">
        <w:rPr>
          <w:sz w:val="20"/>
        </w:rPr>
        <w:t>besoins particuliers. Qu</w:t>
      </w:r>
      <w:r w:rsidR="001E4492">
        <w:rPr>
          <w:sz w:val="20"/>
        </w:rPr>
        <w:t xml:space="preserve">oi qu’il en </w:t>
      </w:r>
      <w:r w:rsidRPr="007D4673">
        <w:rPr>
          <w:sz w:val="20"/>
        </w:rPr>
        <w:t xml:space="preserve">soit, ces dispositions devraient prévoir </w:t>
      </w:r>
      <w:r w:rsidR="000F38D2" w:rsidRPr="007D4673">
        <w:rPr>
          <w:sz w:val="20"/>
        </w:rPr>
        <w:t xml:space="preserve">pour la passation de marchés </w:t>
      </w:r>
      <w:r w:rsidRPr="007D4673">
        <w:rPr>
          <w:sz w:val="20"/>
        </w:rPr>
        <w:t>des lignes directrices claires et exhaustives reposant sur les principes de base suivants :</w:t>
      </w:r>
    </w:p>
    <w:p w14:paraId="48CDF90A" w14:textId="77777777" w:rsidR="000C4185" w:rsidRPr="007D4673" w:rsidRDefault="000C4185" w:rsidP="00471D59">
      <w:pPr>
        <w:spacing w:line="240" w:lineRule="auto"/>
        <w:rPr>
          <w:sz w:val="20"/>
        </w:rPr>
      </w:pPr>
    </w:p>
    <w:p w14:paraId="20D7CCB7" w14:textId="77777777" w:rsidR="000C4185" w:rsidRPr="007D4673" w:rsidRDefault="00251F6E" w:rsidP="003F1333">
      <w:pPr>
        <w:pStyle w:val="Paragraphedeliste"/>
        <w:numPr>
          <w:ilvl w:val="0"/>
          <w:numId w:val="35"/>
        </w:numPr>
        <w:spacing w:line="240" w:lineRule="auto"/>
        <w:rPr>
          <w:sz w:val="20"/>
        </w:rPr>
      </w:pPr>
      <w:r w:rsidRPr="007D4673">
        <w:rPr>
          <w:sz w:val="20"/>
        </w:rPr>
        <w:t>rapport qualité-prix</w:t>
      </w:r>
    </w:p>
    <w:p w14:paraId="11D53CA2" w14:textId="77777777" w:rsidR="000C4185" w:rsidRPr="007D4673" w:rsidRDefault="00251F6E" w:rsidP="003F1333">
      <w:pPr>
        <w:pStyle w:val="Paragraphedeliste"/>
        <w:numPr>
          <w:ilvl w:val="0"/>
          <w:numId w:val="35"/>
        </w:numPr>
        <w:spacing w:line="240" w:lineRule="auto"/>
        <w:rPr>
          <w:sz w:val="20"/>
        </w:rPr>
      </w:pPr>
      <w:r w:rsidRPr="007D4673">
        <w:rPr>
          <w:sz w:val="20"/>
        </w:rPr>
        <w:t>équité, transparence, ouverture et clarté</w:t>
      </w:r>
    </w:p>
    <w:p w14:paraId="3C83D683" w14:textId="77777777" w:rsidR="000C4185" w:rsidRPr="007D4673" w:rsidRDefault="00251F6E" w:rsidP="003F1333">
      <w:pPr>
        <w:pStyle w:val="Paragraphedeliste"/>
        <w:numPr>
          <w:ilvl w:val="0"/>
          <w:numId w:val="35"/>
        </w:numPr>
        <w:spacing w:line="240" w:lineRule="auto"/>
        <w:rPr>
          <w:sz w:val="20"/>
        </w:rPr>
      </w:pPr>
      <w:r w:rsidRPr="007D4673">
        <w:rPr>
          <w:sz w:val="20"/>
        </w:rPr>
        <w:t>déontologie</w:t>
      </w:r>
    </w:p>
    <w:p w14:paraId="28C93A41" w14:textId="77777777" w:rsidR="000C4185" w:rsidRPr="007D4673" w:rsidRDefault="00251F6E" w:rsidP="0049533D">
      <w:pPr>
        <w:pStyle w:val="Paragraphedeliste"/>
        <w:numPr>
          <w:ilvl w:val="0"/>
          <w:numId w:val="35"/>
        </w:numPr>
        <w:spacing w:line="240" w:lineRule="auto"/>
        <w:rPr>
          <w:sz w:val="20"/>
        </w:rPr>
      </w:pPr>
      <w:r w:rsidRPr="007D4673">
        <w:rPr>
          <w:sz w:val="20"/>
        </w:rPr>
        <w:t>concurrence et efficacité.</w:t>
      </w:r>
    </w:p>
    <w:p w14:paraId="4ACCA136" w14:textId="77777777" w:rsidR="000C4185" w:rsidRPr="007D4673" w:rsidRDefault="000C4185" w:rsidP="00471D59">
      <w:pPr>
        <w:spacing w:line="240" w:lineRule="auto"/>
        <w:rPr>
          <w:sz w:val="20"/>
          <w:szCs w:val="20"/>
        </w:rPr>
      </w:pPr>
    </w:p>
    <w:p w14:paraId="2751670A" w14:textId="76EC5CE6" w:rsidR="000C4185" w:rsidRPr="007D4673" w:rsidRDefault="00251F6E" w:rsidP="00471D59">
      <w:pPr>
        <w:spacing w:line="240" w:lineRule="auto"/>
        <w:rPr>
          <w:sz w:val="20"/>
          <w:szCs w:val="20"/>
        </w:rPr>
      </w:pPr>
      <w:r w:rsidRPr="007D4673">
        <w:rPr>
          <w:sz w:val="20"/>
        </w:rPr>
        <w:t>La passation de marchés publics est un domaine spécialisé exigeant des connaissance</w:t>
      </w:r>
      <w:r w:rsidR="00A53776" w:rsidRPr="007D4673">
        <w:rPr>
          <w:sz w:val="20"/>
        </w:rPr>
        <w:t>s</w:t>
      </w:r>
      <w:r w:rsidRPr="007D4673">
        <w:rPr>
          <w:sz w:val="20"/>
        </w:rPr>
        <w:t xml:space="preserve"> et des compétences particulières. Le parlement devrait par conséquent disposer de personnel ayant des compétences spécialisées en matière de passation de marchés, de gestion de contrats, de recherche du meilleur rapport qualité-prix, ainsi que de communication concernant des procédures de passation de marchés complexes. Tous les fonctionnaires parlementaires prenant part à la procédure de passation de marchés devraient être tenus de suivre régulièrement une formation.</w:t>
      </w:r>
    </w:p>
    <w:p w14:paraId="78EABCFA" w14:textId="77777777" w:rsidR="000C4185" w:rsidRPr="007D4673" w:rsidRDefault="000C4185" w:rsidP="00471D59">
      <w:pPr>
        <w:spacing w:line="240" w:lineRule="auto"/>
        <w:rPr>
          <w:sz w:val="20"/>
          <w:szCs w:val="20"/>
        </w:rPr>
      </w:pPr>
    </w:p>
    <w:p w14:paraId="6060B48F" w14:textId="413BB27E" w:rsidR="000C4185" w:rsidRPr="007D4673" w:rsidRDefault="00251F6E" w:rsidP="00471D59">
      <w:pPr>
        <w:spacing w:line="240" w:lineRule="auto"/>
        <w:rPr>
          <w:sz w:val="20"/>
          <w:szCs w:val="20"/>
        </w:rPr>
      </w:pPr>
      <w:r w:rsidRPr="007D4673">
        <w:rPr>
          <w:sz w:val="20"/>
        </w:rPr>
        <w:t xml:space="preserve">La procédure de passation de marchés du parlement et les décisions prises dans ce domaine devraient faire l'objet d'audits ou d'autres analyses </w:t>
      </w:r>
      <w:r w:rsidR="00AF0B1F" w:rsidRPr="007D4673">
        <w:rPr>
          <w:sz w:val="20"/>
        </w:rPr>
        <w:t xml:space="preserve">internes ou externes </w:t>
      </w:r>
      <w:r w:rsidRPr="007D4673">
        <w:rPr>
          <w:sz w:val="20"/>
        </w:rPr>
        <w:t>visant à garantir qu'elles respectent le cadre juridique et les lignes directrices en matière de passation de marchés. Dans certains pays, cette mission est dévolue à une instance indépendante.</w:t>
      </w:r>
    </w:p>
    <w:p w14:paraId="78FBC7F5" w14:textId="77777777" w:rsidR="000C4185" w:rsidRPr="007D4673" w:rsidRDefault="00251F6E" w:rsidP="00800F6F">
      <w:pPr>
        <w:pStyle w:val="section-title"/>
      </w:pPr>
      <w:r w:rsidRPr="007D467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1C68E5" w:rsidRPr="007D4673" w14:paraId="5511B184" w14:textId="77777777" w:rsidTr="001C68E5">
        <w:tc>
          <w:tcPr>
            <w:tcW w:w="5000" w:type="pct"/>
            <w:shd w:val="clear" w:color="auto" w:fill="EEEEEE"/>
          </w:tcPr>
          <w:p w14:paraId="6E33056D" w14:textId="77777777" w:rsidR="000C4185" w:rsidRPr="007D4673" w:rsidRDefault="00251F6E" w:rsidP="00471D59">
            <w:pPr>
              <w:spacing w:after="160" w:line="240" w:lineRule="auto"/>
              <w:rPr>
                <w:i/>
                <w:sz w:val="20"/>
                <w:szCs w:val="20"/>
              </w:rPr>
            </w:pPr>
            <w:r w:rsidRPr="007D4673">
              <w:rPr>
                <w:i/>
                <w:sz w:val="20"/>
              </w:rPr>
              <w:t>Après une analyse comparative, les parlements pourraient par exemple viser les objectifs suivants en ce qui concerne la passation de marchés publics :</w:t>
            </w:r>
          </w:p>
          <w:p w14:paraId="36641784" w14:textId="5F1076FE" w:rsidR="000C4185" w:rsidRPr="007D4673" w:rsidRDefault="00E536C5" w:rsidP="00471D59">
            <w:pPr>
              <w:spacing w:line="240" w:lineRule="auto"/>
              <w:rPr>
                <w:sz w:val="20"/>
                <w:szCs w:val="20"/>
              </w:rPr>
            </w:pPr>
            <w:r w:rsidRPr="007D4673">
              <w:rPr>
                <w:sz w:val="20"/>
              </w:rPr>
              <w:t xml:space="preserve">Un cadre juridique règlemente la passation de marchés par le parlement. Le parlement </w:t>
            </w:r>
            <w:r w:rsidR="00505F9B">
              <w:rPr>
                <w:sz w:val="20"/>
              </w:rPr>
              <w:t xml:space="preserve">suit </w:t>
            </w:r>
            <w:r w:rsidRPr="007D4673">
              <w:rPr>
                <w:sz w:val="20"/>
              </w:rPr>
              <w:t>de</w:t>
            </w:r>
            <w:r w:rsidR="00505F9B">
              <w:rPr>
                <w:sz w:val="20"/>
              </w:rPr>
              <w:t>s</w:t>
            </w:r>
            <w:r w:rsidRPr="007D4673">
              <w:rPr>
                <w:sz w:val="20"/>
              </w:rPr>
              <w:t xml:space="preserve"> lignes directrices claires et exhaustives conformes aux obligations et aux bonnes pratiques internationales et nationales.</w:t>
            </w:r>
          </w:p>
          <w:p w14:paraId="38E6F29A" w14:textId="77777777" w:rsidR="000C4185" w:rsidRPr="007D4673" w:rsidRDefault="000C4185" w:rsidP="00471D59">
            <w:pPr>
              <w:spacing w:line="240" w:lineRule="auto"/>
              <w:rPr>
                <w:sz w:val="20"/>
                <w:szCs w:val="20"/>
              </w:rPr>
            </w:pPr>
          </w:p>
          <w:p w14:paraId="0EF5DB02" w14:textId="77777777" w:rsidR="000C4185" w:rsidRPr="007D4673" w:rsidRDefault="00251F6E" w:rsidP="00471D59">
            <w:pPr>
              <w:spacing w:line="240" w:lineRule="auto"/>
              <w:rPr>
                <w:sz w:val="20"/>
                <w:szCs w:val="20"/>
              </w:rPr>
            </w:pPr>
            <w:r w:rsidRPr="007D4673">
              <w:rPr>
                <w:sz w:val="20"/>
              </w:rPr>
              <w:t xml:space="preserve">Le parlement dispose de personnel ayant des compétences spécialisées en matière de passation de marchés, de gestion de contrats, de recherche du meilleur rapport qualité-prix, ainsi que de communication concernant des procédures de passation de marchés complexes. </w:t>
            </w:r>
          </w:p>
          <w:p w14:paraId="08DFA622" w14:textId="77777777" w:rsidR="000C4185" w:rsidRPr="007D4673" w:rsidRDefault="000C4185" w:rsidP="00471D59">
            <w:pPr>
              <w:spacing w:line="240" w:lineRule="auto"/>
              <w:rPr>
                <w:sz w:val="20"/>
                <w:szCs w:val="20"/>
              </w:rPr>
            </w:pPr>
          </w:p>
          <w:p w14:paraId="06F527FE" w14:textId="77777777" w:rsidR="000C4185" w:rsidRPr="007D4673" w:rsidRDefault="00251F6E" w:rsidP="00F610C3">
            <w:pPr>
              <w:spacing w:line="240" w:lineRule="auto"/>
              <w:rPr>
                <w:sz w:val="20"/>
                <w:szCs w:val="20"/>
              </w:rPr>
            </w:pPr>
            <w:r w:rsidRPr="007D4673">
              <w:rPr>
                <w:sz w:val="20"/>
              </w:rPr>
              <w:t>Tous les stades de la procédure de passation de marchés sont complètement transparents et ouverts. Toute l'information relative à la passation de marchés est accessible au public.</w:t>
            </w:r>
          </w:p>
          <w:p w14:paraId="060BF340" w14:textId="77777777" w:rsidR="000C4185" w:rsidRPr="007D4673" w:rsidRDefault="000C4185" w:rsidP="00471D59">
            <w:pPr>
              <w:spacing w:line="240" w:lineRule="auto"/>
              <w:rPr>
                <w:sz w:val="20"/>
              </w:rPr>
            </w:pPr>
          </w:p>
          <w:p w14:paraId="137F85AA" w14:textId="487D3D1B" w:rsidR="000C4185" w:rsidRPr="007D4673" w:rsidRDefault="00251F6E" w:rsidP="00471D59">
            <w:pPr>
              <w:spacing w:line="240" w:lineRule="auto"/>
              <w:rPr>
                <w:sz w:val="20"/>
                <w:szCs w:val="20"/>
              </w:rPr>
            </w:pPr>
            <w:r w:rsidRPr="007D4673">
              <w:rPr>
                <w:sz w:val="20"/>
              </w:rPr>
              <w:t xml:space="preserve">Des audits ou </w:t>
            </w:r>
            <w:r w:rsidR="00E536C5" w:rsidRPr="007D4673">
              <w:rPr>
                <w:sz w:val="20"/>
              </w:rPr>
              <w:t xml:space="preserve">autres </w:t>
            </w:r>
            <w:r w:rsidRPr="007D4673">
              <w:rPr>
                <w:sz w:val="20"/>
              </w:rPr>
              <w:t>analyses internes ou externes garantissent le respect du cadre juridique et des lignes directrices en matière de passation de marchés. Les rapports et les conclusions de ces audits ou analyses sont publiquement accessibles.</w:t>
            </w:r>
          </w:p>
          <w:p w14:paraId="1E379311" w14:textId="77777777" w:rsidR="000C4185" w:rsidRPr="007D4673" w:rsidRDefault="000C4185" w:rsidP="00F610C3">
            <w:pPr>
              <w:spacing w:line="240" w:lineRule="auto"/>
              <w:rPr>
                <w:sz w:val="20"/>
                <w:szCs w:val="20"/>
              </w:rPr>
            </w:pPr>
          </w:p>
        </w:tc>
      </w:tr>
    </w:tbl>
    <w:p w14:paraId="22D3F397" w14:textId="77777777" w:rsidR="000C4185" w:rsidRPr="007D4673" w:rsidRDefault="00251F6E" w:rsidP="00800F6F">
      <w:pPr>
        <w:pStyle w:val="section-title"/>
      </w:pPr>
      <w:r w:rsidRPr="007D4673">
        <w:t>Évaluation</w:t>
      </w:r>
    </w:p>
    <w:p w14:paraId="3834AB24" w14:textId="77777777" w:rsidR="000C4185" w:rsidRPr="007D4673" w:rsidRDefault="00251F6E" w:rsidP="00471D59">
      <w:pPr>
        <w:spacing w:before="200" w:line="240" w:lineRule="auto"/>
        <w:rPr>
          <w:sz w:val="20"/>
          <w:szCs w:val="20"/>
        </w:rPr>
      </w:pPr>
      <w:r w:rsidRPr="007D4673">
        <w:rPr>
          <w:sz w:val="20"/>
        </w:rPr>
        <w:lastRenderedPageBreak/>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57966243" w14:textId="77777777" w:rsidR="000C4185" w:rsidRPr="007D4673" w:rsidRDefault="00251F6E" w:rsidP="00471D59">
      <w:pPr>
        <w:spacing w:before="200" w:line="240" w:lineRule="auto"/>
        <w:rPr>
          <w:sz w:val="20"/>
          <w:szCs w:val="20"/>
        </w:rPr>
      </w:pPr>
      <w:r w:rsidRPr="007D4673">
        <w:rPr>
          <w:sz w:val="20"/>
        </w:rPr>
        <w:t>Exemples d'éléments permettant d'étayer l'évaluation :</w:t>
      </w:r>
    </w:p>
    <w:p w14:paraId="3F448A8B" w14:textId="77777777" w:rsidR="000C4185" w:rsidRPr="007D4673" w:rsidRDefault="000C4185" w:rsidP="001C68E5">
      <w:pPr>
        <w:spacing w:line="240" w:lineRule="auto"/>
        <w:rPr>
          <w:sz w:val="20"/>
          <w:szCs w:val="20"/>
        </w:rPr>
      </w:pPr>
    </w:p>
    <w:p w14:paraId="4383C70B" w14:textId="77777777" w:rsidR="000C4185" w:rsidRPr="007D4673" w:rsidRDefault="00251F6E" w:rsidP="001C68E5">
      <w:pPr>
        <w:numPr>
          <w:ilvl w:val="0"/>
          <w:numId w:val="23"/>
        </w:numPr>
        <w:spacing w:line="240" w:lineRule="auto"/>
        <w:ind w:left="562" w:hanging="562"/>
        <w:rPr>
          <w:sz w:val="20"/>
          <w:szCs w:val="20"/>
        </w:rPr>
      </w:pPr>
      <w:r w:rsidRPr="007D4673">
        <w:rPr>
          <w:sz w:val="20"/>
        </w:rPr>
        <w:t>Dispositions du cadre juridique relatives à la passation de marchés par le parlement</w:t>
      </w:r>
    </w:p>
    <w:p w14:paraId="3177D4F4" w14:textId="77777777" w:rsidR="000C4185" w:rsidRPr="007D4673" w:rsidRDefault="00251F6E" w:rsidP="001C68E5">
      <w:pPr>
        <w:numPr>
          <w:ilvl w:val="0"/>
          <w:numId w:val="23"/>
        </w:numPr>
        <w:spacing w:line="240" w:lineRule="auto"/>
        <w:ind w:left="562" w:hanging="562"/>
        <w:rPr>
          <w:sz w:val="20"/>
          <w:szCs w:val="20"/>
        </w:rPr>
      </w:pPr>
      <w:r w:rsidRPr="007D4673">
        <w:rPr>
          <w:sz w:val="20"/>
        </w:rPr>
        <w:t>Lignes directrices sur la procédure de passation de marchés au parlement</w:t>
      </w:r>
    </w:p>
    <w:p w14:paraId="5D3153F4" w14:textId="77777777" w:rsidR="000C4185" w:rsidRPr="007D4673" w:rsidRDefault="00251F6E" w:rsidP="001C68E5">
      <w:pPr>
        <w:numPr>
          <w:ilvl w:val="0"/>
          <w:numId w:val="23"/>
        </w:numPr>
        <w:spacing w:line="240" w:lineRule="auto"/>
        <w:ind w:left="562" w:hanging="562"/>
        <w:rPr>
          <w:sz w:val="20"/>
          <w:szCs w:val="20"/>
        </w:rPr>
      </w:pPr>
      <w:r w:rsidRPr="007D4673">
        <w:rPr>
          <w:sz w:val="20"/>
        </w:rPr>
        <w:t>Information publique concernant tous les stades de la procédure de passation de marchés</w:t>
      </w:r>
    </w:p>
    <w:p w14:paraId="486EA423" w14:textId="77777777" w:rsidR="000C4185" w:rsidRPr="007D4673" w:rsidRDefault="00251F6E" w:rsidP="001C68E5">
      <w:pPr>
        <w:numPr>
          <w:ilvl w:val="0"/>
          <w:numId w:val="23"/>
        </w:numPr>
        <w:spacing w:line="240" w:lineRule="auto"/>
        <w:ind w:left="562" w:hanging="562"/>
        <w:rPr>
          <w:sz w:val="20"/>
          <w:szCs w:val="20"/>
        </w:rPr>
      </w:pPr>
      <w:r w:rsidRPr="007D4673">
        <w:rPr>
          <w:sz w:val="20"/>
        </w:rPr>
        <w:t xml:space="preserve">Rapports d'audits ou autres analyses internes ou externes de la passation de marchés précis ou de la procédure de passation de marchés dans son ensemble </w:t>
      </w:r>
    </w:p>
    <w:p w14:paraId="579BAD27" w14:textId="77777777" w:rsidR="000C4185" w:rsidRPr="007D4673" w:rsidRDefault="00251F6E" w:rsidP="001C68E5">
      <w:pPr>
        <w:numPr>
          <w:ilvl w:val="0"/>
          <w:numId w:val="23"/>
        </w:numPr>
        <w:spacing w:line="240" w:lineRule="auto"/>
        <w:ind w:left="562" w:hanging="562"/>
        <w:rPr>
          <w:sz w:val="20"/>
          <w:szCs w:val="20"/>
        </w:rPr>
      </w:pPr>
      <w:r w:rsidRPr="007D4673">
        <w:rPr>
          <w:sz w:val="20"/>
        </w:rPr>
        <w:t>Données sur l'éventuel non-respect de la loi lors de la passation de marchés publics</w:t>
      </w:r>
    </w:p>
    <w:p w14:paraId="0A4E943A" w14:textId="77777777" w:rsidR="000C4185" w:rsidRPr="007D4673" w:rsidRDefault="000C4185" w:rsidP="00471D59">
      <w:pPr>
        <w:spacing w:line="240" w:lineRule="auto"/>
        <w:rPr>
          <w:sz w:val="20"/>
          <w:szCs w:val="20"/>
        </w:rPr>
      </w:pPr>
    </w:p>
    <w:p w14:paraId="03992D7F" w14:textId="77777777" w:rsidR="000C4185" w:rsidRPr="007D4673" w:rsidRDefault="00251F6E" w:rsidP="00471D59">
      <w:pPr>
        <w:spacing w:line="240" w:lineRule="auto"/>
        <w:rPr>
          <w:sz w:val="20"/>
          <w:szCs w:val="20"/>
        </w:rPr>
      </w:pPr>
      <w:r w:rsidRPr="007D4673">
        <w:rPr>
          <w:sz w:val="20"/>
        </w:rPr>
        <w:t>Le cas échéant, merci de bien vouloir communiquer des observations ou exemples supplémentaires pour étayer l'évaluation.</w:t>
      </w:r>
    </w:p>
    <w:p w14:paraId="26730BFF" w14:textId="77777777" w:rsidR="000C4185" w:rsidRPr="007D4673" w:rsidRDefault="00251F6E" w:rsidP="00D20D38">
      <w:pPr>
        <w:pStyle w:val="Titre4"/>
      </w:pPr>
      <w:bookmarkStart w:id="12" w:name="_1k8eap2r6tfm"/>
      <w:bookmarkEnd w:id="12"/>
      <w:r w:rsidRPr="007D4673">
        <w:t>Critère d'évaluation n° 1 : Cadre juridique</w:t>
      </w:r>
    </w:p>
    <w:p w14:paraId="26A00B95" w14:textId="77777777" w:rsidR="000C4185" w:rsidRPr="007D4673" w:rsidRDefault="00251F6E" w:rsidP="00F610C3">
      <w:pPr>
        <w:spacing w:line="240" w:lineRule="auto"/>
        <w:rPr>
          <w:sz w:val="20"/>
          <w:szCs w:val="20"/>
        </w:rPr>
      </w:pPr>
      <w:r w:rsidRPr="007D4673">
        <w:rPr>
          <w:sz w:val="20"/>
        </w:rPr>
        <w:t>Un cadre juridique réglemente la passation de marchés par le parlement. Le parlement dispose de lignes directrices claires et exhaustives conformes aux obligations et aux bonnes pratiques internationales et nationales.</w:t>
      </w:r>
    </w:p>
    <w:p w14:paraId="64E913B7"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68E5" w:rsidRPr="007D4673" w14:paraId="31C8CE1F"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CA64359" w14:textId="77777777" w:rsidR="000C4185" w:rsidRPr="007D4673" w:rsidRDefault="00251F6E">
            <w:pPr>
              <w:jc w:val="center"/>
              <w:rPr>
                <w:rFonts w:eastAsia="Calibri"/>
                <w:sz w:val="20"/>
                <w:szCs w:val="20"/>
              </w:rPr>
            </w:pPr>
            <w:r w:rsidRPr="007D4673">
              <w:rPr>
                <w:sz w:val="20"/>
              </w:rPr>
              <w:t>Néant</w:t>
            </w:r>
          </w:p>
          <w:p w14:paraId="71728E70"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CF481C" w14:textId="77777777" w:rsidR="000C4185" w:rsidRPr="007D4673" w:rsidRDefault="00251F6E">
            <w:pPr>
              <w:jc w:val="center"/>
              <w:rPr>
                <w:rFonts w:eastAsia="Calibri"/>
                <w:sz w:val="20"/>
                <w:szCs w:val="20"/>
              </w:rPr>
            </w:pPr>
            <w:r w:rsidRPr="007D4673">
              <w:rPr>
                <w:sz w:val="20"/>
              </w:rPr>
              <w:t xml:space="preserve">Médiocre </w:t>
            </w:r>
          </w:p>
          <w:p w14:paraId="750E49E3"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358300" w14:textId="77777777" w:rsidR="000C4185" w:rsidRPr="007D4673" w:rsidRDefault="00251F6E">
            <w:pPr>
              <w:jc w:val="center"/>
              <w:rPr>
                <w:rFonts w:eastAsia="Calibri"/>
                <w:sz w:val="20"/>
                <w:szCs w:val="20"/>
              </w:rPr>
            </w:pPr>
            <w:r w:rsidRPr="007D4673">
              <w:rPr>
                <w:sz w:val="20"/>
              </w:rPr>
              <w:t>Moyen</w:t>
            </w:r>
          </w:p>
          <w:p w14:paraId="5FEF6273"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DA0D29B" w14:textId="77777777" w:rsidR="000C4185" w:rsidRPr="007D4673" w:rsidRDefault="00251F6E">
            <w:pPr>
              <w:jc w:val="center"/>
              <w:rPr>
                <w:rFonts w:eastAsia="Calibri"/>
                <w:sz w:val="20"/>
                <w:szCs w:val="20"/>
              </w:rPr>
            </w:pPr>
            <w:r w:rsidRPr="007D4673">
              <w:rPr>
                <w:sz w:val="20"/>
              </w:rPr>
              <w:t>Bon</w:t>
            </w:r>
          </w:p>
          <w:p w14:paraId="1DBC75A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1FB40F1" w14:textId="77777777" w:rsidR="000C4185" w:rsidRPr="007D4673" w:rsidRDefault="00251F6E">
            <w:pPr>
              <w:jc w:val="center"/>
              <w:rPr>
                <w:rFonts w:eastAsia="Calibri"/>
                <w:sz w:val="20"/>
                <w:szCs w:val="20"/>
              </w:rPr>
            </w:pPr>
            <w:r w:rsidRPr="007D4673">
              <w:rPr>
                <w:sz w:val="20"/>
              </w:rPr>
              <w:t>Très bon</w:t>
            </w:r>
          </w:p>
          <w:p w14:paraId="7EF7483F"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F9B8BE6" w14:textId="77777777" w:rsidR="000C4185" w:rsidRPr="007D4673" w:rsidRDefault="00251F6E">
            <w:pPr>
              <w:jc w:val="center"/>
              <w:rPr>
                <w:rFonts w:eastAsia="Calibri"/>
                <w:sz w:val="20"/>
                <w:szCs w:val="20"/>
              </w:rPr>
            </w:pPr>
            <w:r w:rsidRPr="007D4673">
              <w:rPr>
                <w:sz w:val="20"/>
              </w:rPr>
              <w:t>Excellent</w:t>
            </w:r>
          </w:p>
          <w:p w14:paraId="3D52EFD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1C68E5" w:rsidRPr="007D4673" w14:paraId="0C208A75"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8571F" w14:textId="77777777" w:rsidR="000C4185" w:rsidRPr="007D4673" w:rsidRDefault="00251F6E">
            <w:pPr>
              <w:rPr>
                <w:rFonts w:eastAsia="Calibri"/>
                <w:color w:val="005F9A"/>
                <w:sz w:val="20"/>
                <w:szCs w:val="20"/>
              </w:rPr>
            </w:pPr>
            <w:r w:rsidRPr="007D4673">
              <w:rPr>
                <w:color w:val="005F9A"/>
                <w:sz w:val="20"/>
              </w:rPr>
              <w:t>Éléments à l'appui de l'évaluation :</w:t>
            </w:r>
          </w:p>
          <w:p w14:paraId="125334A1" w14:textId="77777777" w:rsidR="000C4185" w:rsidRPr="007D4673" w:rsidRDefault="000C4185">
            <w:pPr>
              <w:rPr>
                <w:rFonts w:eastAsia="Calibri"/>
                <w:color w:val="0000FF"/>
                <w:sz w:val="20"/>
                <w:szCs w:val="20"/>
              </w:rPr>
            </w:pPr>
          </w:p>
          <w:p w14:paraId="1D16BB6A" w14:textId="77777777" w:rsidR="000C4185" w:rsidRPr="007D4673" w:rsidRDefault="000C4185">
            <w:pPr>
              <w:rPr>
                <w:rFonts w:eastAsia="Calibri"/>
                <w:color w:val="0000FF"/>
                <w:sz w:val="20"/>
                <w:szCs w:val="20"/>
              </w:rPr>
            </w:pPr>
          </w:p>
        </w:tc>
      </w:tr>
    </w:tbl>
    <w:p w14:paraId="576C5FC7" w14:textId="77777777" w:rsidR="000C4185" w:rsidRPr="007D4673" w:rsidRDefault="00251F6E" w:rsidP="00D20D38">
      <w:pPr>
        <w:pStyle w:val="Titre4"/>
      </w:pPr>
      <w:bookmarkStart w:id="13" w:name="_ipnwzfthv2vq"/>
      <w:bookmarkEnd w:id="13"/>
      <w:r w:rsidRPr="007D4673">
        <w:t>Critère d'évaluation n° 2 : Expertise</w:t>
      </w:r>
    </w:p>
    <w:p w14:paraId="73A334C0" w14:textId="77777777" w:rsidR="000C4185" w:rsidRPr="007D4673" w:rsidRDefault="00251F6E" w:rsidP="00F610C3">
      <w:pPr>
        <w:spacing w:line="240" w:lineRule="auto"/>
        <w:rPr>
          <w:sz w:val="20"/>
          <w:szCs w:val="20"/>
        </w:rPr>
      </w:pPr>
      <w:r w:rsidRPr="007D4673">
        <w:rPr>
          <w:sz w:val="20"/>
        </w:rPr>
        <w:t xml:space="preserve">Le parlement dispose de personnel ayant des compétences spécialisées en matière de passation de marchés, de gestion de contrats, de recherche du meilleur rapport qualité-prix, ainsi que de communication concernant des procédures de passation de marchés complexes. </w:t>
      </w:r>
    </w:p>
    <w:p w14:paraId="572B9353"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68E5" w:rsidRPr="007D4673" w14:paraId="29C6A674" w14:textId="77777777" w:rsidTr="00F610C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DBFAE72" w14:textId="77777777" w:rsidR="000C4185" w:rsidRPr="007D4673" w:rsidRDefault="00251F6E">
            <w:pPr>
              <w:jc w:val="center"/>
              <w:rPr>
                <w:rFonts w:eastAsia="Calibri"/>
                <w:sz w:val="20"/>
                <w:szCs w:val="20"/>
              </w:rPr>
            </w:pPr>
            <w:r w:rsidRPr="007D4673">
              <w:rPr>
                <w:sz w:val="20"/>
              </w:rPr>
              <w:t>Néant</w:t>
            </w:r>
          </w:p>
          <w:p w14:paraId="7D941657"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529FA06" w14:textId="77777777" w:rsidR="000C4185" w:rsidRPr="007D4673" w:rsidRDefault="00251F6E">
            <w:pPr>
              <w:jc w:val="center"/>
              <w:rPr>
                <w:rFonts w:eastAsia="Calibri"/>
                <w:sz w:val="20"/>
                <w:szCs w:val="20"/>
              </w:rPr>
            </w:pPr>
            <w:r w:rsidRPr="007D4673">
              <w:rPr>
                <w:sz w:val="20"/>
              </w:rPr>
              <w:t xml:space="preserve">Médiocre </w:t>
            </w:r>
          </w:p>
          <w:p w14:paraId="266979BE"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704564" w14:textId="77777777" w:rsidR="000C4185" w:rsidRPr="007D4673" w:rsidRDefault="00251F6E">
            <w:pPr>
              <w:jc w:val="center"/>
              <w:rPr>
                <w:rFonts w:eastAsia="Calibri"/>
                <w:sz w:val="20"/>
                <w:szCs w:val="20"/>
              </w:rPr>
            </w:pPr>
            <w:r w:rsidRPr="007D4673">
              <w:rPr>
                <w:sz w:val="20"/>
              </w:rPr>
              <w:t>Moyen</w:t>
            </w:r>
          </w:p>
          <w:p w14:paraId="6922DF39"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DA7C00" w14:textId="77777777" w:rsidR="000C4185" w:rsidRPr="007D4673" w:rsidRDefault="00251F6E">
            <w:pPr>
              <w:jc w:val="center"/>
              <w:rPr>
                <w:rFonts w:eastAsia="Calibri"/>
                <w:sz w:val="20"/>
                <w:szCs w:val="20"/>
              </w:rPr>
            </w:pPr>
            <w:r w:rsidRPr="007D4673">
              <w:rPr>
                <w:sz w:val="20"/>
              </w:rPr>
              <w:t>Bon</w:t>
            </w:r>
          </w:p>
          <w:p w14:paraId="4DD3F43A"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74D2205" w14:textId="77777777" w:rsidR="000C4185" w:rsidRPr="007D4673" w:rsidRDefault="00251F6E">
            <w:pPr>
              <w:jc w:val="center"/>
              <w:rPr>
                <w:rFonts w:eastAsia="Calibri"/>
                <w:sz w:val="20"/>
                <w:szCs w:val="20"/>
              </w:rPr>
            </w:pPr>
            <w:r w:rsidRPr="007D4673">
              <w:rPr>
                <w:sz w:val="20"/>
              </w:rPr>
              <w:t>Très bon</w:t>
            </w:r>
          </w:p>
          <w:p w14:paraId="451F088F"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5298419F" w14:textId="77777777" w:rsidR="000C4185" w:rsidRPr="007D4673" w:rsidRDefault="00251F6E">
            <w:pPr>
              <w:jc w:val="center"/>
              <w:rPr>
                <w:rFonts w:eastAsia="Calibri"/>
                <w:sz w:val="20"/>
                <w:szCs w:val="20"/>
              </w:rPr>
            </w:pPr>
            <w:r w:rsidRPr="007D4673">
              <w:rPr>
                <w:sz w:val="20"/>
              </w:rPr>
              <w:t>Excellent</w:t>
            </w:r>
          </w:p>
          <w:p w14:paraId="361A4B47"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1C68E5" w:rsidRPr="007D4673" w14:paraId="1CC077BC" w14:textId="77777777" w:rsidTr="006666AE">
        <w:tc>
          <w:tcPr>
            <w:tcW w:w="5000" w:type="pct"/>
            <w:gridSpan w:val="6"/>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44EC8ACE" w14:textId="77777777" w:rsidR="000C4185" w:rsidRPr="007D4673" w:rsidRDefault="00251F6E">
            <w:pPr>
              <w:rPr>
                <w:rFonts w:eastAsia="Calibri"/>
                <w:color w:val="005F9A"/>
                <w:sz w:val="20"/>
                <w:szCs w:val="20"/>
              </w:rPr>
            </w:pPr>
            <w:r w:rsidRPr="007D4673">
              <w:rPr>
                <w:color w:val="005F9A"/>
                <w:sz w:val="20"/>
              </w:rPr>
              <w:t>Éléments à l'appui de l'évaluation :</w:t>
            </w:r>
          </w:p>
          <w:p w14:paraId="4195D26F" w14:textId="77777777" w:rsidR="000C4185" w:rsidRPr="007D4673" w:rsidRDefault="000C4185">
            <w:pPr>
              <w:rPr>
                <w:rFonts w:eastAsia="Calibri"/>
                <w:color w:val="0000FF"/>
                <w:sz w:val="20"/>
                <w:szCs w:val="20"/>
              </w:rPr>
            </w:pPr>
          </w:p>
          <w:p w14:paraId="2BB6BEBF" w14:textId="77777777" w:rsidR="000C4185" w:rsidRPr="007D4673" w:rsidRDefault="000C4185">
            <w:pPr>
              <w:rPr>
                <w:rFonts w:eastAsia="Calibri"/>
                <w:color w:val="0000FF"/>
                <w:sz w:val="20"/>
                <w:szCs w:val="20"/>
              </w:rPr>
            </w:pPr>
          </w:p>
        </w:tc>
      </w:tr>
    </w:tbl>
    <w:p w14:paraId="1EBE32AD" w14:textId="77777777" w:rsidR="000C4185" w:rsidRPr="007D4673" w:rsidRDefault="00251F6E" w:rsidP="00D20D38">
      <w:pPr>
        <w:pStyle w:val="Titre4"/>
      </w:pPr>
      <w:bookmarkStart w:id="14" w:name="_jltxn9a2bopy"/>
      <w:bookmarkEnd w:id="14"/>
      <w:r w:rsidRPr="007D4673">
        <w:t xml:space="preserve">Critère d'évaluation n° 3 : Transparence </w:t>
      </w:r>
    </w:p>
    <w:p w14:paraId="01AAE65A" w14:textId="77777777" w:rsidR="000C4185" w:rsidRPr="007D4673" w:rsidRDefault="00251F6E" w:rsidP="00F610C3">
      <w:pPr>
        <w:spacing w:line="240" w:lineRule="auto"/>
        <w:rPr>
          <w:sz w:val="20"/>
          <w:szCs w:val="20"/>
        </w:rPr>
      </w:pPr>
      <w:r w:rsidRPr="007D4673">
        <w:rPr>
          <w:sz w:val="20"/>
        </w:rPr>
        <w:t>Tous les stades de la procédure de passation de marchés sont complètement transparents et ouverts. Toute l'information relative à la passation de marchés est accessible au public en temps utile.</w:t>
      </w:r>
    </w:p>
    <w:p w14:paraId="1453B376" w14:textId="77777777" w:rsidR="000C4185" w:rsidRPr="007D4673" w:rsidRDefault="000C4185" w:rsidP="00F610C3">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635CA7" w:rsidRPr="007D4673" w14:paraId="0F57B700" w14:textId="77777777" w:rsidTr="00BD3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186226" w14:textId="77777777" w:rsidR="000C4185" w:rsidRPr="007D4673" w:rsidRDefault="00251F6E" w:rsidP="00BD37E3">
            <w:pPr>
              <w:jc w:val="center"/>
              <w:rPr>
                <w:rFonts w:eastAsia="Calibri"/>
                <w:sz w:val="20"/>
                <w:szCs w:val="20"/>
              </w:rPr>
            </w:pPr>
            <w:r w:rsidRPr="007D4673">
              <w:rPr>
                <w:sz w:val="20"/>
              </w:rPr>
              <w:t>Néant</w:t>
            </w:r>
          </w:p>
          <w:p w14:paraId="447A4A0F"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277FDC3" w14:textId="77777777" w:rsidR="000C4185" w:rsidRPr="007D4673" w:rsidRDefault="00251F6E" w:rsidP="00BD37E3">
            <w:pPr>
              <w:jc w:val="center"/>
              <w:rPr>
                <w:rFonts w:eastAsia="Calibri"/>
                <w:sz w:val="20"/>
                <w:szCs w:val="20"/>
              </w:rPr>
            </w:pPr>
            <w:r w:rsidRPr="007D4673">
              <w:rPr>
                <w:sz w:val="20"/>
              </w:rPr>
              <w:t xml:space="preserve">Médiocre </w:t>
            </w:r>
          </w:p>
          <w:p w14:paraId="704EF349"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D8225F" w14:textId="77777777" w:rsidR="000C4185" w:rsidRPr="007D4673" w:rsidRDefault="00251F6E" w:rsidP="00BD37E3">
            <w:pPr>
              <w:jc w:val="center"/>
              <w:rPr>
                <w:rFonts w:eastAsia="Calibri"/>
                <w:sz w:val="20"/>
                <w:szCs w:val="20"/>
              </w:rPr>
            </w:pPr>
            <w:r w:rsidRPr="007D4673">
              <w:rPr>
                <w:sz w:val="20"/>
              </w:rPr>
              <w:t>Moyen</w:t>
            </w:r>
          </w:p>
          <w:p w14:paraId="41AB4AE3"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64BF07" w14:textId="77777777" w:rsidR="000C4185" w:rsidRPr="007D4673" w:rsidRDefault="00251F6E" w:rsidP="00BD37E3">
            <w:pPr>
              <w:jc w:val="center"/>
              <w:rPr>
                <w:rFonts w:eastAsia="Calibri"/>
                <w:sz w:val="20"/>
                <w:szCs w:val="20"/>
              </w:rPr>
            </w:pPr>
            <w:r w:rsidRPr="007D4673">
              <w:rPr>
                <w:sz w:val="20"/>
              </w:rPr>
              <w:t>Bon</w:t>
            </w:r>
          </w:p>
          <w:p w14:paraId="2B016435"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6E17F9" w14:textId="77777777" w:rsidR="000C4185" w:rsidRPr="007D4673" w:rsidRDefault="00251F6E" w:rsidP="00BD37E3">
            <w:pPr>
              <w:jc w:val="center"/>
              <w:rPr>
                <w:rFonts w:eastAsia="Calibri"/>
                <w:sz w:val="20"/>
                <w:szCs w:val="20"/>
              </w:rPr>
            </w:pPr>
            <w:r w:rsidRPr="007D4673">
              <w:rPr>
                <w:sz w:val="20"/>
              </w:rPr>
              <w:t>Très bon</w:t>
            </w:r>
          </w:p>
          <w:p w14:paraId="6D9A99AD"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F06632E" w14:textId="77777777" w:rsidR="000C4185" w:rsidRPr="007D4673" w:rsidRDefault="00251F6E" w:rsidP="00BD37E3">
            <w:pPr>
              <w:jc w:val="center"/>
              <w:rPr>
                <w:rFonts w:eastAsia="Calibri"/>
                <w:sz w:val="20"/>
                <w:szCs w:val="20"/>
              </w:rPr>
            </w:pPr>
            <w:r w:rsidRPr="007D4673">
              <w:rPr>
                <w:sz w:val="20"/>
              </w:rPr>
              <w:t>Excellent</w:t>
            </w:r>
          </w:p>
          <w:p w14:paraId="1317B3C1"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r>
      <w:tr w:rsidR="00F610C3" w:rsidRPr="007D4673" w14:paraId="5CE24EC9" w14:textId="77777777" w:rsidTr="00BD3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44435" w14:textId="77777777" w:rsidR="000C4185" w:rsidRPr="007D4673" w:rsidRDefault="00251F6E" w:rsidP="00BD37E3">
            <w:pPr>
              <w:rPr>
                <w:rFonts w:eastAsia="Calibri"/>
                <w:color w:val="005F9A"/>
                <w:sz w:val="20"/>
                <w:szCs w:val="20"/>
              </w:rPr>
            </w:pPr>
            <w:r w:rsidRPr="007D4673">
              <w:rPr>
                <w:color w:val="005F9A"/>
                <w:sz w:val="20"/>
              </w:rPr>
              <w:t>Éléments à l'appui de l'évaluation :</w:t>
            </w:r>
          </w:p>
          <w:p w14:paraId="2B896A7D" w14:textId="77777777" w:rsidR="000C4185" w:rsidRPr="007D4673" w:rsidRDefault="000C4185" w:rsidP="00BD37E3">
            <w:pPr>
              <w:rPr>
                <w:rFonts w:eastAsia="Calibri"/>
                <w:color w:val="0000FF"/>
                <w:sz w:val="20"/>
                <w:szCs w:val="20"/>
              </w:rPr>
            </w:pPr>
          </w:p>
          <w:p w14:paraId="51C710F4" w14:textId="77777777" w:rsidR="000C4185" w:rsidRPr="007D4673" w:rsidRDefault="000C4185" w:rsidP="00BD37E3">
            <w:pPr>
              <w:rPr>
                <w:rFonts w:eastAsia="Calibri"/>
                <w:color w:val="0000FF"/>
                <w:sz w:val="20"/>
                <w:szCs w:val="20"/>
              </w:rPr>
            </w:pPr>
          </w:p>
        </w:tc>
      </w:tr>
    </w:tbl>
    <w:p w14:paraId="0DF05ED2" w14:textId="77777777" w:rsidR="000C4185" w:rsidRPr="007D4673" w:rsidRDefault="00251F6E" w:rsidP="00D20D38">
      <w:pPr>
        <w:pStyle w:val="Titre4"/>
      </w:pPr>
      <w:r w:rsidRPr="007D4673">
        <w:t>Critère d'évaluation n° 4 : Audits</w:t>
      </w:r>
      <w:r w:rsidRPr="007D4673">
        <w:tab/>
      </w:r>
    </w:p>
    <w:p w14:paraId="59725EF3" w14:textId="77777777" w:rsidR="000C4185" w:rsidRPr="007D4673" w:rsidRDefault="00251F6E" w:rsidP="00471D59">
      <w:pPr>
        <w:spacing w:line="240" w:lineRule="auto"/>
        <w:rPr>
          <w:sz w:val="20"/>
          <w:szCs w:val="20"/>
        </w:rPr>
      </w:pPr>
      <w:r w:rsidRPr="007D4673">
        <w:rPr>
          <w:sz w:val="20"/>
        </w:rPr>
        <w:t>Des audits ou autres analyses internes ou externes garantissent le respect du cadre juridique et des lignes directrices en matière de passation de marchés. Les rapports et les conclusions de ces audits ou analyses sont publiquement accessibles.</w:t>
      </w:r>
    </w:p>
    <w:p w14:paraId="13B1871E"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68E5" w:rsidRPr="007D4673" w14:paraId="47DF61B6"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C994086" w14:textId="77777777" w:rsidR="000C4185" w:rsidRPr="007D4673" w:rsidRDefault="00251F6E">
            <w:pPr>
              <w:jc w:val="center"/>
              <w:rPr>
                <w:rFonts w:eastAsia="Calibri"/>
                <w:sz w:val="20"/>
                <w:szCs w:val="20"/>
              </w:rPr>
            </w:pPr>
            <w:r w:rsidRPr="007D4673">
              <w:rPr>
                <w:sz w:val="20"/>
              </w:rPr>
              <w:t>Néant</w:t>
            </w:r>
          </w:p>
          <w:p w14:paraId="3E4D181E"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EA2FCA8" w14:textId="77777777" w:rsidR="000C4185" w:rsidRPr="007D4673" w:rsidRDefault="00251F6E">
            <w:pPr>
              <w:jc w:val="center"/>
              <w:rPr>
                <w:rFonts w:eastAsia="Calibri"/>
                <w:sz w:val="20"/>
                <w:szCs w:val="20"/>
              </w:rPr>
            </w:pPr>
            <w:r w:rsidRPr="007D4673">
              <w:rPr>
                <w:sz w:val="20"/>
              </w:rPr>
              <w:t xml:space="preserve">Médiocre </w:t>
            </w:r>
          </w:p>
          <w:p w14:paraId="3DC396FE"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3845F93" w14:textId="77777777" w:rsidR="000C4185" w:rsidRPr="007D4673" w:rsidRDefault="00251F6E">
            <w:pPr>
              <w:jc w:val="center"/>
              <w:rPr>
                <w:rFonts w:eastAsia="Calibri"/>
                <w:sz w:val="20"/>
                <w:szCs w:val="20"/>
              </w:rPr>
            </w:pPr>
            <w:r w:rsidRPr="007D4673">
              <w:rPr>
                <w:sz w:val="20"/>
              </w:rPr>
              <w:t>Moyen</w:t>
            </w:r>
          </w:p>
          <w:p w14:paraId="585340F3"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CEF8D1C" w14:textId="77777777" w:rsidR="000C4185" w:rsidRPr="007D4673" w:rsidRDefault="00251F6E">
            <w:pPr>
              <w:jc w:val="center"/>
              <w:rPr>
                <w:rFonts w:eastAsia="Calibri"/>
                <w:sz w:val="20"/>
                <w:szCs w:val="20"/>
              </w:rPr>
            </w:pPr>
            <w:r w:rsidRPr="007D4673">
              <w:rPr>
                <w:sz w:val="20"/>
              </w:rPr>
              <w:t>Bon</w:t>
            </w:r>
          </w:p>
          <w:p w14:paraId="5D05350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D1114F" w14:textId="77777777" w:rsidR="000C4185" w:rsidRPr="007D4673" w:rsidRDefault="00251F6E">
            <w:pPr>
              <w:jc w:val="center"/>
              <w:rPr>
                <w:rFonts w:eastAsia="Calibri"/>
                <w:sz w:val="20"/>
                <w:szCs w:val="20"/>
              </w:rPr>
            </w:pPr>
            <w:r w:rsidRPr="007D4673">
              <w:rPr>
                <w:sz w:val="20"/>
              </w:rPr>
              <w:t>Très bon</w:t>
            </w:r>
          </w:p>
          <w:p w14:paraId="0E91D885"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C2C3179" w14:textId="77777777" w:rsidR="000C4185" w:rsidRPr="007D4673" w:rsidRDefault="00251F6E">
            <w:pPr>
              <w:jc w:val="center"/>
              <w:rPr>
                <w:rFonts w:eastAsia="Calibri"/>
                <w:sz w:val="20"/>
                <w:szCs w:val="20"/>
              </w:rPr>
            </w:pPr>
            <w:r w:rsidRPr="007D4673">
              <w:rPr>
                <w:sz w:val="20"/>
              </w:rPr>
              <w:t>Excellent</w:t>
            </w:r>
          </w:p>
          <w:p w14:paraId="1672A98E"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1C68E5" w:rsidRPr="007D4673" w14:paraId="492AADE1"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454A3" w14:textId="77777777" w:rsidR="000C4185" w:rsidRPr="007D4673" w:rsidRDefault="00251F6E">
            <w:pPr>
              <w:rPr>
                <w:rFonts w:eastAsia="Calibri"/>
                <w:color w:val="005F9A"/>
                <w:sz w:val="20"/>
                <w:szCs w:val="20"/>
              </w:rPr>
            </w:pPr>
            <w:r w:rsidRPr="007D4673">
              <w:rPr>
                <w:color w:val="005F9A"/>
                <w:sz w:val="20"/>
              </w:rPr>
              <w:t>Éléments à l'appui de l'évaluation :</w:t>
            </w:r>
          </w:p>
          <w:p w14:paraId="241FE308" w14:textId="77777777" w:rsidR="000C4185" w:rsidRPr="007D4673" w:rsidRDefault="000C4185">
            <w:pPr>
              <w:rPr>
                <w:rFonts w:eastAsia="Calibri"/>
                <w:color w:val="0000FF"/>
                <w:sz w:val="20"/>
                <w:szCs w:val="20"/>
              </w:rPr>
            </w:pPr>
          </w:p>
          <w:p w14:paraId="7655805F" w14:textId="77777777" w:rsidR="000C4185" w:rsidRPr="007D4673" w:rsidRDefault="000C4185">
            <w:pPr>
              <w:rPr>
                <w:rFonts w:eastAsia="Calibri"/>
                <w:color w:val="0000FF"/>
                <w:sz w:val="20"/>
                <w:szCs w:val="20"/>
              </w:rPr>
            </w:pPr>
          </w:p>
        </w:tc>
      </w:tr>
    </w:tbl>
    <w:p w14:paraId="055D63D6" w14:textId="77777777" w:rsidR="000C4185" w:rsidRPr="007D4673" w:rsidRDefault="000C4185" w:rsidP="00800F6F">
      <w:pPr>
        <w:pStyle w:val="section-title"/>
      </w:pPr>
      <w:bookmarkStart w:id="15" w:name="_ulekjxdc1crl"/>
      <w:bookmarkStart w:id="16" w:name="_74l1uy7xnc5b"/>
      <w:bookmarkEnd w:id="15"/>
      <w:bookmarkEnd w:id="16"/>
    </w:p>
    <w:p w14:paraId="6ACBCD13" w14:textId="77777777" w:rsidR="000C4185" w:rsidRPr="007D4673" w:rsidRDefault="00251F6E" w:rsidP="00800F6F">
      <w:pPr>
        <w:pStyle w:val="section-title"/>
      </w:pPr>
      <w:r w:rsidRPr="007D467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1C68E5" w:rsidRPr="007D4673" w14:paraId="0B6BBE52" w14:textId="77777777" w:rsidTr="006400C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278744EB" w14:textId="77777777" w:rsidR="000C4185" w:rsidRPr="007D4673" w:rsidRDefault="00251F6E" w:rsidP="006400CE">
            <w:pPr>
              <w:spacing w:line="240" w:lineRule="auto"/>
              <w:rPr>
                <w:rFonts w:eastAsia="Calibri"/>
                <w:sz w:val="20"/>
                <w:szCs w:val="20"/>
              </w:rPr>
            </w:pPr>
            <w:r w:rsidRPr="007D4673">
              <w:rPr>
                <w:i/>
                <w:color w:val="000000"/>
                <w:sz w:val="20"/>
              </w:rPr>
              <w:t>Dans cet encadré, notez les recommandations et les idées visant à renforcer les règles et la pratique dans ce domaine.</w:t>
            </w:r>
          </w:p>
        </w:tc>
      </w:tr>
    </w:tbl>
    <w:p w14:paraId="59B7643E" w14:textId="6080D80F" w:rsidR="00867777" w:rsidRPr="00867777" w:rsidRDefault="00251F6E" w:rsidP="00800F6F">
      <w:pPr>
        <w:pStyle w:val="section-title"/>
        <w:rPr>
          <w:sz w:val="20"/>
          <w:szCs w:val="20"/>
        </w:rPr>
      </w:pPr>
      <w:r w:rsidRPr="007D4673">
        <w:t>Sources et autre documentation</w:t>
      </w:r>
    </w:p>
    <w:p w14:paraId="10835DFF" w14:textId="558CEF94" w:rsidR="00867777" w:rsidRPr="00867777" w:rsidRDefault="00867777" w:rsidP="00867777">
      <w:pPr>
        <w:numPr>
          <w:ilvl w:val="0"/>
          <w:numId w:val="31"/>
        </w:numPr>
        <w:spacing w:line="240" w:lineRule="auto"/>
        <w:ind w:left="562" w:hanging="562"/>
        <w:rPr>
          <w:sz w:val="20"/>
          <w:szCs w:val="20"/>
        </w:rPr>
      </w:pPr>
      <w:r>
        <w:rPr>
          <w:sz w:val="20"/>
        </w:rPr>
        <w:t xml:space="preserve">Association </w:t>
      </w:r>
      <w:r w:rsidRPr="007D4673">
        <w:rPr>
          <w:sz w:val="20"/>
        </w:rPr>
        <w:t>parlementaire du Commonwealth (A</w:t>
      </w:r>
      <w:r w:rsidR="00DA7BE8">
        <w:rPr>
          <w:sz w:val="20"/>
        </w:rPr>
        <w:t>PC</w:t>
      </w:r>
      <w:r w:rsidRPr="007D4673">
        <w:rPr>
          <w:sz w:val="20"/>
        </w:rPr>
        <w:t>),</w:t>
      </w:r>
      <w:hyperlink r:id="rId16">
        <w:r w:rsidRPr="007D4673">
          <w:t xml:space="preserve"> </w:t>
        </w:r>
      </w:hyperlink>
      <w:hyperlink r:id="rId17">
        <w:r w:rsidRPr="00064905">
          <w:rPr>
            <w:i/>
            <w:color w:val="1155CC"/>
            <w:sz w:val="20"/>
            <w:u w:val="single"/>
          </w:rPr>
          <w:t>Recommended Benchmarks for Democratic Legislators</w:t>
        </w:r>
      </w:hyperlink>
      <w:r w:rsidRPr="00064905">
        <w:rPr>
          <w:sz w:val="20"/>
        </w:rPr>
        <w:t>, é</w:t>
      </w:r>
      <w:r w:rsidRPr="007D4673">
        <w:rPr>
          <w:sz w:val="20"/>
        </w:rPr>
        <w:t>dition révisée (2018).</w:t>
      </w:r>
    </w:p>
    <w:p w14:paraId="7B2BEC13" w14:textId="77777777" w:rsidR="00867777" w:rsidRPr="00867777" w:rsidRDefault="00867777" w:rsidP="0049533D">
      <w:pPr>
        <w:numPr>
          <w:ilvl w:val="0"/>
          <w:numId w:val="31"/>
        </w:numPr>
        <w:spacing w:line="240" w:lineRule="auto"/>
        <w:ind w:left="562" w:hanging="562"/>
        <w:rPr>
          <w:sz w:val="20"/>
          <w:szCs w:val="20"/>
        </w:rPr>
      </w:pPr>
      <w:r>
        <w:rPr>
          <w:sz w:val="20"/>
        </w:rPr>
        <w:t xml:space="preserve">Beetham </w:t>
      </w:r>
      <w:r w:rsidRPr="007D4673">
        <w:rPr>
          <w:sz w:val="20"/>
        </w:rPr>
        <w:t>David,</w:t>
      </w:r>
      <w:hyperlink r:id="rId18">
        <w:r w:rsidRPr="007D4673">
          <w:t xml:space="preserve"> </w:t>
        </w:r>
      </w:hyperlink>
      <w:hyperlink r:id="rId19">
        <w:r w:rsidRPr="007D4673">
          <w:rPr>
            <w:i/>
            <w:color w:val="0563C1"/>
            <w:sz w:val="20"/>
            <w:u w:val="single"/>
          </w:rPr>
          <w:t>Parlement et démocratie au XXI</w:t>
        </w:r>
        <w:r w:rsidRPr="007D4673">
          <w:rPr>
            <w:i/>
            <w:color w:val="0563C1"/>
            <w:sz w:val="20"/>
            <w:u w:val="single"/>
            <w:vertAlign w:val="superscript"/>
          </w:rPr>
          <w:t>e</w:t>
        </w:r>
        <w:r w:rsidRPr="007D4673">
          <w:rPr>
            <w:i/>
            <w:color w:val="0563C1"/>
            <w:sz w:val="20"/>
            <w:u w:val="single"/>
          </w:rPr>
          <w:t xml:space="preserve"> siècle :</w:t>
        </w:r>
      </w:hyperlink>
      <w:hyperlink r:id="rId20">
        <w:r w:rsidRPr="007D4673">
          <w:rPr>
            <w:i/>
            <w:color w:val="0563C1"/>
            <w:sz w:val="20"/>
            <w:u w:val="single"/>
          </w:rPr>
          <w:t xml:space="preserve"> guide des bonnes pratiques</w:t>
        </w:r>
      </w:hyperlink>
      <w:r w:rsidRPr="007D4673">
        <w:rPr>
          <w:sz w:val="20"/>
        </w:rPr>
        <w:t xml:space="preserve"> (2006).</w:t>
      </w:r>
    </w:p>
    <w:p w14:paraId="6E073454" w14:textId="00453C6E" w:rsidR="000C4185" w:rsidRPr="007D4673" w:rsidRDefault="00251F6E" w:rsidP="0049533D">
      <w:pPr>
        <w:numPr>
          <w:ilvl w:val="0"/>
          <w:numId w:val="31"/>
        </w:numPr>
        <w:spacing w:line="240" w:lineRule="auto"/>
        <w:ind w:left="562" w:hanging="562"/>
        <w:rPr>
          <w:sz w:val="20"/>
          <w:szCs w:val="20"/>
        </w:rPr>
      </w:pPr>
      <w:r w:rsidRPr="007D4673">
        <w:rPr>
          <w:sz w:val="20"/>
          <w:szCs w:val="20"/>
        </w:rPr>
        <w:t>Gouvernement australien</w:t>
      </w:r>
      <w:r w:rsidRPr="007D4673">
        <w:rPr>
          <w:sz w:val="18"/>
          <w:szCs w:val="20"/>
        </w:rPr>
        <w:t>,</w:t>
      </w:r>
      <w:r w:rsidRPr="007D4673">
        <w:rPr>
          <w:sz w:val="20"/>
        </w:rPr>
        <w:t xml:space="preserve"> </w:t>
      </w:r>
      <w:hyperlink r:id="rId21">
        <w:r w:rsidRPr="007D4673">
          <w:rPr>
            <w:i/>
            <w:color w:val="005F9A"/>
            <w:sz w:val="20"/>
            <w:u w:val="single"/>
          </w:rPr>
          <w:t>Commonwealth Procurement Rules</w:t>
        </w:r>
      </w:hyperlink>
      <w:r w:rsidRPr="007D4673">
        <w:rPr>
          <w:i/>
          <w:sz w:val="20"/>
        </w:rPr>
        <w:t xml:space="preserve"> </w:t>
      </w:r>
      <w:r w:rsidRPr="007D4673">
        <w:rPr>
          <w:sz w:val="20"/>
        </w:rPr>
        <w:t>(2023).</w:t>
      </w:r>
    </w:p>
    <w:p w14:paraId="50E9249B" w14:textId="77ACDBFF" w:rsidR="000C4185" w:rsidRPr="007D4673" w:rsidRDefault="00251F6E" w:rsidP="0049533D">
      <w:pPr>
        <w:numPr>
          <w:ilvl w:val="0"/>
          <w:numId w:val="31"/>
        </w:numPr>
        <w:spacing w:line="240" w:lineRule="auto"/>
        <w:ind w:left="562" w:hanging="562"/>
        <w:rPr>
          <w:sz w:val="20"/>
          <w:szCs w:val="20"/>
        </w:rPr>
      </w:pPr>
      <w:r w:rsidRPr="007D4673">
        <w:rPr>
          <w:sz w:val="20"/>
        </w:rPr>
        <w:t xml:space="preserve">Gouvernement </w:t>
      </w:r>
      <w:r w:rsidR="008B31CA">
        <w:rPr>
          <w:sz w:val="20"/>
        </w:rPr>
        <w:t>bélizien</w:t>
      </w:r>
      <w:r w:rsidRPr="007D4673">
        <w:rPr>
          <w:sz w:val="20"/>
        </w:rPr>
        <w:t xml:space="preserve">, </w:t>
      </w:r>
      <w:hyperlink r:id="rId22" w:history="1">
        <w:r w:rsidRPr="007D4673">
          <w:rPr>
            <w:rStyle w:val="Lienhypertexte"/>
            <w:i/>
            <w:sz w:val="20"/>
          </w:rPr>
          <w:t>Public Procurement Procedures Handbook. Volume 1: Standardised Procurement Procedures</w:t>
        </w:r>
      </w:hyperlink>
      <w:r w:rsidRPr="007D4673">
        <w:rPr>
          <w:sz w:val="20"/>
        </w:rPr>
        <w:t xml:space="preserve"> (2013).</w:t>
      </w:r>
    </w:p>
    <w:p w14:paraId="1B2E1C50" w14:textId="77777777" w:rsidR="000C4185" w:rsidRPr="00251F6E" w:rsidRDefault="00251F6E" w:rsidP="003E6197">
      <w:pPr>
        <w:numPr>
          <w:ilvl w:val="0"/>
          <w:numId w:val="32"/>
        </w:numPr>
        <w:spacing w:line="240" w:lineRule="auto"/>
        <w:ind w:left="562" w:hanging="562"/>
        <w:rPr>
          <w:sz w:val="20"/>
          <w:szCs w:val="20"/>
          <w:lang w:val="en-US"/>
        </w:rPr>
      </w:pPr>
      <w:r w:rsidRPr="00251F6E">
        <w:rPr>
          <w:sz w:val="20"/>
          <w:lang w:val="en-US"/>
        </w:rPr>
        <w:t xml:space="preserve">Institut national </w:t>
      </w:r>
      <w:proofErr w:type="spellStart"/>
      <w:r w:rsidRPr="00251F6E">
        <w:rPr>
          <w:sz w:val="20"/>
          <w:lang w:val="en-US"/>
        </w:rPr>
        <w:t>démocratique</w:t>
      </w:r>
      <w:proofErr w:type="spellEnd"/>
      <w:r w:rsidRPr="00251F6E">
        <w:rPr>
          <w:sz w:val="20"/>
          <w:lang w:val="en-US"/>
        </w:rPr>
        <w:t xml:space="preserve"> (NDI), </w:t>
      </w:r>
      <w:hyperlink r:id="rId23">
        <w:r w:rsidRPr="00251F6E">
          <w:rPr>
            <w:i/>
            <w:color w:val="1155CC"/>
            <w:sz w:val="20"/>
            <w:u w:val="single"/>
            <w:lang w:val="en-US"/>
          </w:rPr>
          <w:t>Towards the Development of International Standards for Democratic Legislatures</w:t>
        </w:r>
      </w:hyperlink>
      <w:r w:rsidRPr="00251F6E">
        <w:rPr>
          <w:sz w:val="20"/>
          <w:lang w:val="en-US"/>
        </w:rPr>
        <w:t xml:space="preserve"> (2007)</w:t>
      </w:r>
      <w:r w:rsidRPr="00251F6E">
        <w:rPr>
          <w:lang w:val="en-US"/>
        </w:rPr>
        <w:t>.</w:t>
      </w:r>
    </w:p>
    <w:p w14:paraId="5300DFE9" w14:textId="77777777" w:rsidR="000C4185" w:rsidRPr="00867777" w:rsidRDefault="00251F6E" w:rsidP="003E6197">
      <w:pPr>
        <w:numPr>
          <w:ilvl w:val="0"/>
          <w:numId w:val="31"/>
        </w:numPr>
        <w:spacing w:line="240" w:lineRule="auto"/>
        <w:ind w:left="562" w:hanging="562"/>
        <w:rPr>
          <w:sz w:val="20"/>
          <w:szCs w:val="20"/>
        </w:rPr>
      </w:pPr>
      <w:r w:rsidRPr="007D4673">
        <w:rPr>
          <w:sz w:val="20"/>
        </w:rPr>
        <w:t>Organisation pour la coopération et le développement économiques (OCDE</w:t>
      </w:r>
      <w:r w:rsidRPr="007D4673">
        <w:rPr>
          <w:i/>
          <w:sz w:val="20"/>
        </w:rPr>
        <w:t xml:space="preserve">), </w:t>
      </w:r>
      <w:hyperlink r:id="rId24">
        <w:r w:rsidRPr="007D4673">
          <w:rPr>
            <w:i/>
            <w:color w:val="1155CC"/>
            <w:sz w:val="20"/>
            <w:u w:val="single"/>
          </w:rPr>
          <w:t>OECD Recommendation of the Council on Public Procurement</w:t>
        </w:r>
      </w:hyperlink>
      <w:r w:rsidRPr="007D4673">
        <w:rPr>
          <w:color w:val="333333"/>
          <w:sz w:val="20"/>
        </w:rPr>
        <w:t xml:space="preserve"> (</w:t>
      </w:r>
      <w:r w:rsidRPr="007D4673">
        <w:rPr>
          <w:sz w:val="20"/>
        </w:rPr>
        <w:t>2015).</w:t>
      </w:r>
    </w:p>
    <w:p w14:paraId="639AC5FC" w14:textId="77777777" w:rsidR="000C4185" w:rsidRPr="007D4673" w:rsidRDefault="000C4185" w:rsidP="00471D59">
      <w:pPr>
        <w:spacing w:line="240" w:lineRule="auto"/>
        <w:rPr>
          <w:sz w:val="20"/>
          <w:szCs w:val="20"/>
        </w:rPr>
      </w:pPr>
      <w:bookmarkStart w:id="17" w:name="_elp7e1968r6b"/>
      <w:bookmarkEnd w:id="17"/>
    </w:p>
    <w:p w14:paraId="43AA344E" w14:textId="77777777" w:rsidR="000C4185" w:rsidRPr="007D4673" w:rsidRDefault="000C4185" w:rsidP="00471D59">
      <w:pPr>
        <w:spacing w:line="240" w:lineRule="auto"/>
        <w:rPr>
          <w:sz w:val="20"/>
          <w:szCs w:val="20"/>
        </w:rPr>
      </w:pPr>
    </w:p>
    <w:p w14:paraId="73A5736B" w14:textId="77777777" w:rsidR="000C4185" w:rsidRPr="007D4673" w:rsidRDefault="000C4185" w:rsidP="00471D59">
      <w:pPr>
        <w:spacing w:line="240" w:lineRule="auto"/>
        <w:rPr>
          <w:sz w:val="20"/>
          <w:szCs w:val="20"/>
        </w:rPr>
      </w:pPr>
    </w:p>
    <w:p w14:paraId="2D49BCF8" w14:textId="77777777" w:rsidR="000C4185" w:rsidRPr="007D4673" w:rsidRDefault="000C4185" w:rsidP="00471D59">
      <w:pPr>
        <w:spacing w:line="240" w:lineRule="auto"/>
        <w:rPr>
          <w:sz w:val="20"/>
          <w:szCs w:val="20"/>
        </w:rPr>
      </w:pPr>
    </w:p>
    <w:p w14:paraId="00E33B8E" w14:textId="77777777" w:rsidR="000C4185" w:rsidRPr="007D4673" w:rsidRDefault="000C4185" w:rsidP="00471D59">
      <w:pPr>
        <w:spacing w:line="240" w:lineRule="auto"/>
        <w:rPr>
          <w:sz w:val="20"/>
          <w:szCs w:val="20"/>
        </w:rPr>
      </w:pPr>
    </w:p>
    <w:p w14:paraId="548550DE" w14:textId="77777777" w:rsidR="000C4185" w:rsidRPr="007D4673" w:rsidRDefault="000C4185" w:rsidP="00471D59">
      <w:pPr>
        <w:spacing w:line="240" w:lineRule="auto"/>
        <w:rPr>
          <w:sz w:val="20"/>
          <w:szCs w:val="20"/>
        </w:rPr>
      </w:pPr>
    </w:p>
    <w:p w14:paraId="197C28A5" w14:textId="77777777" w:rsidR="000C4185" w:rsidRPr="007D4673" w:rsidRDefault="000C4185" w:rsidP="00471D59">
      <w:pPr>
        <w:spacing w:line="240" w:lineRule="auto"/>
        <w:rPr>
          <w:sz w:val="20"/>
          <w:szCs w:val="20"/>
        </w:rPr>
      </w:pPr>
    </w:p>
    <w:p w14:paraId="4B300D2B" w14:textId="77777777" w:rsidR="000C4185" w:rsidRPr="007D4673" w:rsidRDefault="000C4185" w:rsidP="00471D59">
      <w:pPr>
        <w:spacing w:line="240" w:lineRule="auto"/>
        <w:rPr>
          <w:sz w:val="20"/>
          <w:szCs w:val="20"/>
        </w:rPr>
      </w:pPr>
    </w:p>
    <w:p w14:paraId="0D76128D" w14:textId="77777777" w:rsidR="000C4185" w:rsidRPr="007D4673" w:rsidRDefault="00251F6E" w:rsidP="00800F6F">
      <w:pPr>
        <w:pStyle w:val="Dimension"/>
        <w:rPr>
          <w:szCs w:val="24"/>
        </w:rPr>
      </w:pPr>
      <w:bookmarkStart w:id="18" w:name="_z337ya"/>
      <w:bookmarkEnd w:id="18"/>
      <w:r w:rsidRPr="007D4673">
        <w:t>Aspect 2.2.3 : Droit à l'information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471D59" w:rsidRPr="007D4673" w14:paraId="51579667" w14:textId="77777777" w:rsidTr="006400CE">
        <w:tc>
          <w:tcPr>
            <w:tcW w:w="9350" w:type="dxa"/>
            <w:shd w:val="clear" w:color="auto" w:fill="EEEEEE"/>
          </w:tcPr>
          <w:p w14:paraId="05B25C3B" w14:textId="77777777" w:rsidR="000C4185" w:rsidRPr="007D4673" w:rsidRDefault="00251F6E" w:rsidP="006400CE">
            <w:pPr>
              <w:spacing w:line="240" w:lineRule="auto"/>
              <w:rPr>
                <w:sz w:val="20"/>
                <w:szCs w:val="20"/>
              </w:rPr>
            </w:pPr>
            <w:r w:rsidRPr="007D4673">
              <w:rPr>
                <w:sz w:val="20"/>
              </w:rPr>
              <w:t>Cet aspect s'applique aux éléments suivants :</w:t>
            </w:r>
          </w:p>
          <w:p w14:paraId="2688EEF8" w14:textId="77777777" w:rsidR="000C4185" w:rsidRPr="007D4673" w:rsidRDefault="00251F6E" w:rsidP="006400CE">
            <w:pPr>
              <w:pStyle w:val="Paragraphedeliste"/>
              <w:numPr>
                <w:ilvl w:val="0"/>
                <w:numId w:val="8"/>
              </w:numPr>
              <w:spacing w:line="240" w:lineRule="auto"/>
              <w:rPr>
                <w:rFonts w:eastAsia="Calibri" w:cs="Calibri"/>
                <w:sz w:val="20"/>
                <w:szCs w:val="20"/>
              </w:rPr>
            </w:pPr>
            <w:r w:rsidRPr="007D4673">
              <w:rPr>
                <w:sz w:val="20"/>
              </w:rPr>
              <w:t>Indicateur 2.2 : Intégrité institutionnelle</w:t>
            </w:r>
          </w:p>
          <w:p w14:paraId="6E446806" w14:textId="77777777" w:rsidR="000C4185" w:rsidRPr="007D4673" w:rsidRDefault="00251F6E" w:rsidP="006400CE">
            <w:pPr>
              <w:pStyle w:val="Paragraphedeliste"/>
              <w:numPr>
                <w:ilvl w:val="0"/>
                <w:numId w:val="8"/>
              </w:numPr>
              <w:spacing w:line="240" w:lineRule="auto"/>
              <w:rPr>
                <w:rFonts w:eastAsia="Calibri" w:cs="Calibri"/>
                <w:sz w:val="24"/>
                <w:szCs w:val="20"/>
              </w:rPr>
            </w:pPr>
            <w:r w:rsidRPr="007D4673">
              <w:rPr>
                <w:sz w:val="20"/>
              </w:rPr>
              <w:t>Cible 2 : Des parlements responsables</w:t>
            </w:r>
          </w:p>
        </w:tc>
      </w:tr>
    </w:tbl>
    <w:p w14:paraId="2831E0BC" w14:textId="77777777" w:rsidR="000C4185" w:rsidRPr="007D4673" w:rsidRDefault="00251F6E" w:rsidP="00800F6F">
      <w:pPr>
        <w:pStyle w:val="section-title"/>
      </w:pPr>
      <w:r w:rsidRPr="007D4673">
        <w:t>À propos de l'aspect</w:t>
      </w:r>
    </w:p>
    <w:p w14:paraId="1C8754AE" w14:textId="0CA1E230" w:rsidR="000C4185" w:rsidRPr="007D4673" w:rsidRDefault="00251F6E" w:rsidP="00471D59">
      <w:pPr>
        <w:spacing w:line="240" w:lineRule="auto"/>
        <w:rPr>
          <w:sz w:val="20"/>
        </w:rPr>
      </w:pPr>
      <w:r w:rsidRPr="007D4673">
        <w:rPr>
          <w:sz w:val="20"/>
        </w:rPr>
        <w:t>Cet aspect porte sur la législation relative au droit à l'information dans la mesure d</w:t>
      </w:r>
      <w:r w:rsidR="00B34D30">
        <w:rPr>
          <w:sz w:val="20"/>
        </w:rPr>
        <w:t xml:space="preserve">e son application au </w:t>
      </w:r>
      <w:r w:rsidRPr="007D4673">
        <w:rPr>
          <w:sz w:val="20"/>
        </w:rPr>
        <w:t xml:space="preserve">parlement. De nombreux pays </w:t>
      </w:r>
      <w:r w:rsidR="00FC500B" w:rsidRPr="007D4673">
        <w:rPr>
          <w:sz w:val="20"/>
        </w:rPr>
        <w:t xml:space="preserve">ont adopté </w:t>
      </w:r>
      <w:r w:rsidRPr="007D4673">
        <w:rPr>
          <w:sz w:val="20"/>
        </w:rPr>
        <w:t xml:space="preserve">de ce type de législation, généralement connue sous le nom de loi sur la liberté d'accès à l'information. Ces lois partent du principe que les institutions publiques bénéficiant de dotations publiques, les citoyens et les organisations devraient être en mesure d'exiger l'accès à des informations précises concernant leurs activités et leur fonctionnement. </w:t>
      </w:r>
    </w:p>
    <w:p w14:paraId="0EC85C86" w14:textId="77777777" w:rsidR="000C4185" w:rsidRPr="007D4673" w:rsidRDefault="000C4185" w:rsidP="00471D59">
      <w:pPr>
        <w:spacing w:line="240" w:lineRule="auto"/>
        <w:rPr>
          <w:sz w:val="20"/>
        </w:rPr>
      </w:pPr>
    </w:p>
    <w:p w14:paraId="379234D5" w14:textId="5D25AF66" w:rsidR="000C4185" w:rsidRPr="007D4673" w:rsidRDefault="00251F6E" w:rsidP="00471D59">
      <w:pPr>
        <w:spacing w:line="240" w:lineRule="auto"/>
        <w:rPr>
          <w:sz w:val="20"/>
          <w:szCs w:val="20"/>
        </w:rPr>
      </w:pPr>
      <w:r w:rsidRPr="007D4673">
        <w:rPr>
          <w:sz w:val="20"/>
        </w:rPr>
        <w:t xml:space="preserve">Cette même exigence s'applique au parlement, qui devrait publier de sa propre initiative des informations concernant ses activités et devrait être également tenu de répondre à des demandes d'information spécifiques, ce que rend possible l'intégration du parlement dans un dispositif général d'accès à l'information ou l'application au parlement de dispositions spécifiques, justifiée par le fait que le parlement n'est pas une agence d'exécution comme </w:t>
      </w:r>
      <w:r w:rsidR="00B34D30">
        <w:rPr>
          <w:sz w:val="20"/>
        </w:rPr>
        <w:t xml:space="preserve">une </w:t>
      </w:r>
      <w:r w:rsidRPr="007D4673">
        <w:rPr>
          <w:sz w:val="20"/>
        </w:rPr>
        <w:t>autre.</w:t>
      </w:r>
    </w:p>
    <w:p w14:paraId="7F019309" w14:textId="77777777" w:rsidR="000C4185" w:rsidRPr="007D4673" w:rsidRDefault="000C4185" w:rsidP="00471D59">
      <w:pPr>
        <w:spacing w:line="240" w:lineRule="auto"/>
        <w:rPr>
          <w:sz w:val="20"/>
          <w:szCs w:val="20"/>
        </w:rPr>
      </w:pPr>
    </w:p>
    <w:p w14:paraId="7A72C14B" w14:textId="77777777" w:rsidR="000C4185" w:rsidRPr="007D4673" w:rsidRDefault="00251F6E" w:rsidP="00471D59">
      <w:pPr>
        <w:spacing w:line="240" w:lineRule="auto"/>
        <w:rPr>
          <w:sz w:val="20"/>
        </w:rPr>
      </w:pPr>
      <w:r w:rsidRPr="007D4673">
        <w:rPr>
          <w:sz w:val="20"/>
        </w:rPr>
        <w:t>Les dispositions se rapportant au droit d'accéder à l'information, dont celles qui s'appliquent au parlement, devraient suivre un certain nombre de principes généraux, parmi lesquels :</w:t>
      </w:r>
    </w:p>
    <w:p w14:paraId="1F6E525C" w14:textId="77777777" w:rsidR="000C4185" w:rsidRPr="007D4673" w:rsidRDefault="000C4185" w:rsidP="00471D59">
      <w:pPr>
        <w:spacing w:line="240" w:lineRule="auto"/>
        <w:rPr>
          <w:sz w:val="20"/>
        </w:rPr>
      </w:pPr>
    </w:p>
    <w:p w14:paraId="665A4D7D" w14:textId="77777777" w:rsidR="000C4185" w:rsidRPr="007D4673" w:rsidRDefault="00251F6E" w:rsidP="008F5A7C">
      <w:pPr>
        <w:pStyle w:val="Paragraphedeliste"/>
        <w:numPr>
          <w:ilvl w:val="0"/>
          <w:numId w:val="36"/>
        </w:numPr>
        <w:spacing w:line="240" w:lineRule="auto"/>
        <w:rPr>
          <w:sz w:val="20"/>
        </w:rPr>
      </w:pPr>
      <w:r w:rsidRPr="007D4673">
        <w:rPr>
          <w:sz w:val="20"/>
        </w:rPr>
        <w:t>la publication volontaire de catégories prédéterminées d'information</w:t>
      </w:r>
    </w:p>
    <w:p w14:paraId="315BABD9" w14:textId="77777777" w:rsidR="000C4185" w:rsidRPr="007D4673" w:rsidRDefault="00251F6E" w:rsidP="008F5A7C">
      <w:pPr>
        <w:pStyle w:val="Paragraphedeliste"/>
        <w:numPr>
          <w:ilvl w:val="0"/>
          <w:numId w:val="36"/>
        </w:numPr>
        <w:spacing w:line="240" w:lineRule="auto"/>
        <w:rPr>
          <w:sz w:val="20"/>
        </w:rPr>
      </w:pPr>
      <w:r w:rsidRPr="007D4673">
        <w:rPr>
          <w:sz w:val="20"/>
        </w:rPr>
        <w:t>la publication de données ouvertes</w:t>
      </w:r>
    </w:p>
    <w:p w14:paraId="24DC6BD7" w14:textId="77777777" w:rsidR="000C4185" w:rsidRPr="007D4673" w:rsidRDefault="00251F6E" w:rsidP="008F5A7C">
      <w:pPr>
        <w:pStyle w:val="Paragraphedeliste"/>
        <w:numPr>
          <w:ilvl w:val="0"/>
          <w:numId w:val="36"/>
        </w:numPr>
        <w:spacing w:line="240" w:lineRule="auto"/>
        <w:rPr>
          <w:sz w:val="20"/>
        </w:rPr>
      </w:pPr>
      <w:r w:rsidRPr="007D4673">
        <w:rPr>
          <w:sz w:val="20"/>
        </w:rPr>
        <w:t>la divulgation maximale</w:t>
      </w:r>
    </w:p>
    <w:p w14:paraId="3721DFF0" w14:textId="77777777" w:rsidR="000C4185" w:rsidRPr="007D4673" w:rsidRDefault="00251F6E" w:rsidP="008F5A7C">
      <w:pPr>
        <w:pStyle w:val="Paragraphedeliste"/>
        <w:numPr>
          <w:ilvl w:val="0"/>
          <w:numId w:val="36"/>
        </w:numPr>
        <w:spacing w:line="240" w:lineRule="auto"/>
        <w:rPr>
          <w:sz w:val="20"/>
        </w:rPr>
      </w:pPr>
      <w:r w:rsidRPr="007D4673">
        <w:rPr>
          <w:sz w:val="20"/>
        </w:rPr>
        <w:t>les limites posées aux exceptions</w:t>
      </w:r>
    </w:p>
    <w:p w14:paraId="2998C2F2" w14:textId="77777777" w:rsidR="000C4185" w:rsidRPr="007D4673" w:rsidRDefault="00251F6E" w:rsidP="008F5A7C">
      <w:pPr>
        <w:pStyle w:val="Paragraphedeliste"/>
        <w:numPr>
          <w:ilvl w:val="0"/>
          <w:numId w:val="36"/>
        </w:numPr>
        <w:spacing w:line="240" w:lineRule="auto"/>
        <w:rPr>
          <w:sz w:val="20"/>
        </w:rPr>
      </w:pPr>
      <w:r w:rsidRPr="007D4673">
        <w:rPr>
          <w:sz w:val="20"/>
        </w:rPr>
        <w:t>l'accès facilité à l'information</w:t>
      </w:r>
    </w:p>
    <w:p w14:paraId="647B7FB3" w14:textId="77777777" w:rsidR="000C4185" w:rsidRPr="007D4673" w:rsidRDefault="00251F6E" w:rsidP="0049533D">
      <w:pPr>
        <w:pStyle w:val="Paragraphedeliste"/>
        <w:numPr>
          <w:ilvl w:val="0"/>
          <w:numId w:val="36"/>
        </w:numPr>
        <w:spacing w:line="240" w:lineRule="auto"/>
        <w:rPr>
          <w:sz w:val="20"/>
        </w:rPr>
      </w:pPr>
      <w:r w:rsidRPr="007D4673">
        <w:rPr>
          <w:sz w:val="20"/>
        </w:rPr>
        <w:t>le droit de recours à une instance indépendante.</w:t>
      </w:r>
    </w:p>
    <w:p w14:paraId="70DEE24C" w14:textId="77777777" w:rsidR="000C4185" w:rsidRPr="007D4673" w:rsidRDefault="000C4185" w:rsidP="00471D59">
      <w:pPr>
        <w:spacing w:line="240" w:lineRule="auto"/>
        <w:rPr>
          <w:sz w:val="20"/>
        </w:rPr>
      </w:pPr>
    </w:p>
    <w:p w14:paraId="319C6982" w14:textId="3A61392C" w:rsidR="000C4185" w:rsidRPr="007D4673" w:rsidRDefault="00251F6E" w:rsidP="00845EE0">
      <w:pPr>
        <w:spacing w:line="240" w:lineRule="auto"/>
        <w:rPr>
          <w:sz w:val="20"/>
          <w:szCs w:val="20"/>
        </w:rPr>
      </w:pPr>
      <w:r w:rsidRPr="007D4673">
        <w:rPr>
          <w:sz w:val="20"/>
        </w:rPr>
        <w:t>Les dispositions de la législation sur la liberté d'accès à l'information parlement</w:t>
      </w:r>
      <w:r w:rsidR="005B2CA3" w:rsidRPr="007D4673">
        <w:rPr>
          <w:sz w:val="20"/>
        </w:rPr>
        <w:t>aire</w:t>
      </w:r>
      <w:r w:rsidRPr="007D4673">
        <w:rPr>
          <w:sz w:val="20"/>
        </w:rPr>
        <w:t xml:space="preserve"> devraient prévoir la divulgation maximale de l'information, notamment en ce qui concerne les procédures et processus du parlement, mais aussi l'administration parlementaire. Toute exception devrait être étroitement définie. Les obligations auxquels la législation sur la liberté d'accès à l'information devrait soumettre le parlement devraient tenir compte du privilège parlementaire dont jouissent les parlementaires pris individuellement, tout particulièrement du point de vue de leur relation avec leurs électeurs, qui pourrait limiter l'accès à l'information dans des circonstances bien particulières définies par la loi ou dans d'autres règlements. </w:t>
      </w:r>
    </w:p>
    <w:p w14:paraId="58886948" w14:textId="77777777" w:rsidR="000C4185" w:rsidRPr="007D4673" w:rsidRDefault="000C4185" w:rsidP="00471D59">
      <w:pPr>
        <w:spacing w:line="240" w:lineRule="auto"/>
        <w:rPr>
          <w:sz w:val="20"/>
        </w:rPr>
      </w:pPr>
    </w:p>
    <w:p w14:paraId="043BCCD2" w14:textId="3B884381" w:rsidR="000C4185" w:rsidRPr="007D4673" w:rsidRDefault="00251F6E" w:rsidP="00471D59">
      <w:pPr>
        <w:spacing w:line="240" w:lineRule="auto"/>
        <w:rPr>
          <w:sz w:val="20"/>
        </w:rPr>
      </w:pPr>
      <w:r w:rsidRPr="007D4673">
        <w:rPr>
          <w:sz w:val="20"/>
        </w:rPr>
        <w:t>Le parlement devrait suivre des lignes directrice</w:t>
      </w:r>
      <w:r w:rsidR="00361E5E" w:rsidRPr="007D4673">
        <w:rPr>
          <w:sz w:val="20"/>
        </w:rPr>
        <w:t>s</w:t>
      </w:r>
      <w:r w:rsidRPr="007D4673">
        <w:rPr>
          <w:sz w:val="20"/>
        </w:rPr>
        <w:t xml:space="preserve"> relatives à la liberté d'accès à l'information couvrant, entre autres, les aspects suivants :</w:t>
      </w:r>
    </w:p>
    <w:p w14:paraId="052D49B8" w14:textId="77777777" w:rsidR="000C4185" w:rsidRPr="007D4673" w:rsidRDefault="000C4185" w:rsidP="00471D59">
      <w:pPr>
        <w:spacing w:line="240" w:lineRule="auto"/>
        <w:rPr>
          <w:sz w:val="20"/>
        </w:rPr>
      </w:pPr>
    </w:p>
    <w:p w14:paraId="3571B883" w14:textId="14EB3A76" w:rsidR="000C4185" w:rsidRPr="007D4673" w:rsidRDefault="00251F6E" w:rsidP="00AE092D">
      <w:pPr>
        <w:numPr>
          <w:ilvl w:val="0"/>
          <w:numId w:val="21"/>
        </w:numPr>
        <w:spacing w:line="240" w:lineRule="auto"/>
        <w:ind w:left="562" w:hanging="562"/>
        <w:rPr>
          <w:sz w:val="20"/>
          <w:szCs w:val="20"/>
        </w:rPr>
      </w:pPr>
      <w:r w:rsidRPr="007D4673">
        <w:rPr>
          <w:sz w:val="20"/>
        </w:rPr>
        <w:t xml:space="preserve">les entités autorisées à </w:t>
      </w:r>
      <w:r w:rsidR="005E4C4B" w:rsidRPr="007D4673">
        <w:rPr>
          <w:sz w:val="20"/>
        </w:rPr>
        <w:t xml:space="preserve">faire valoir </w:t>
      </w:r>
      <w:r w:rsidRPr="007D4673">
        <w:rPr>
          <w:sz w:val="20"/>
        </w:rPr>
        <w:t>un droit d'accès à l'information et la marche à suivre</w:t>
      </w:r>
    </w:p>
    <w:p w14:paraId="66C05AEB" w14:textId="77777777" w:rsidR="000C4185" w:rsidRPr="007D4673" w:rsidRDefault="00251F6E" w:rsidP="00AE092D">
      <w:pPr>
        <w:numPr>
          <w:ilvl w:val="0"/>
          <w:numId w:val="21"/>
        </w:numPr>
        <w:spacing w:line="240" w:lineRule="auto"/>
        <w:ind w:left="562" w:hanging="562"/>
        <w:rPr>
          <w:sz w:val="20"/>
          <w:szCs w:val="20"/>
        </w:rPr>
      </w:pPr>
      <w:r w:rsidRPr="007D4673">
        <w:rPr>
          <w:sz w:val="20"/>
        </w:rPr>
        <w:t>les délais dans lesquels l'information doit être communiquée</w:t>
      </w:r>
    </w:p>
    <w:p w14:paraId="7C6CE7B2" w14:textId="77777777" w:rsidR="000C4185" w:rsidRPr="007D4673" w:rsidRDefault="00251F6E" w:rsidP="00AE092D">
      <w:pPr>
        <w:numPr>
          <w:ilvl w:val="0"/>
          <w:numId w:val="21"/>
        </w:numPr>
        <w:spacing w:line="240" w:lineRule="auto"/>
        <w:ind w:left="562" w:hanging="562"/>
        <w:rPr>
          <w:sz w:val="20"/>
          <w:szCs w:val="20"/>
        </w:rPr>
      </w:pPr>
      <w:r w:rsidRPr="007D4673">
        <w:rPr>
          <w:sz w:val="20"/>
        </w:rPr>
        <w:t xml:space="preserve">la possibilité de choisir le format de l'information (exemplaire papier, version numérique, etc.) </w:t>
      </w:r>
    </w:p>
    <w:p w14:paraId="7901A14E" w14:textId="1E4419B3" w:rsidR="000C4185" w:rsidRPr="007D4673" w:rsidRDefault="00251F6E" w:rsidP="00AE092D">
      <w:pPr>
        <w:numPr>
          <w:ilvl w:val="0"/>
          <w:numId w:val="21"/>
        </w:numPr>
        <w:spacing w:line="240" w:lineRule="auto"/>
        <w:ind w:left="562" w:hanging="562"/>
        <w:rPr>
          <w:sz w:val="20"/>
          <w:szCs w:val="20"/>
        </w:rPr>
      </w:pPr>
      <w:r w:rsidRPr="007D4673">
        <w:rPr>
          <w:sz w:val="20"/>
        </w:rPr>
        <w:t xml:space="preserve">la gratuité de l'accès par défaut, y compris dans un format informatisé en ligne (si des frais sont exigés, ils ne doivent pas dépasser le coût </w:t>
      </w:r>
      <w:r w:rsidR="008B31CA">
        <w:rPr>
          <w:sz w:val="20"/>
        </w:rPr>
        <w:t xml:space="preserve">effectif </w:t>
      </w:r>
      <w:r w:rsidRPr="007D4673">
        <w:rPr>
          <w:sz w:val="20"/>
        </w:rPr>
        <w:t>de la recherche et de la mise à disposition de l'information)</w:t>
      </w:r>
    </w:p>
    <w:p w14:paraId="4E962119" w14:textId="1F2E7C24" w:rsidR="000C4185" w:rsidRPr="007D4673" w:rsidRDefault="00251F6E" w:rsidP="00AE092D">
      <w:pPr>
        <w:numPr>
          <w:ilvl w:val="0"/>
          <w:numId w:val="21"/>
        </w:numPr>
        <w:spacing w:line="240" w:lineRule="auto"/>
        <w:ind w:left="562" w:hanging="562"/>
        <w:rPr>
          <w:sz w:val="20"/>
          <w:szCs w:val="20"/>
        </w:rPr>
      </w:pPr>
      <w:r w:rsidRPr="007D4673">
        <w:rPr>
          <w:sz w:val="20"/>
        </w:rPr>
        <w:t xml:space="preserve">le droit de porter plainte et la procédure de recours si l'information n'est pas communiquée, ou uniquement partiellement, voire dans des délais excessifs </w:t>
      </w:r>
    </w:p>
    <w:p w14:paraId="7080AE58" w14:textId="77777777" w:rsidR="000C4185" w:rsidRPr="007D4673" w:rsidRDefault="00251F6E" w:rsidP="00AE092D">
      <w:pPr>
        <w:numPr>
          <w:ilvl w:val="0"/>
          <w:numId w:val="21"/>
        </w:numPr>
        <w:spacing w:line="240" w:lineRule="auto"/>
        <w:ind w:left="562" w:hanging="562"/>
        <w:rPr>
          <w:sz w:val="20"/>
          <w:szCs w:val="20"/>
        </w:rPr>
      </w:pPr>
      <w:r w:rsidRPr="007D4673">
        <w:rPr>
          <w:sz w:val="20"/>
        </w:rPr>
        <w:t xml:space="preserve">le stockage des données des requêtes déposées et des réponses reçues. </w:t>
      </w:r>
    </w:p>
    <w:p w14:paraId="13AD6640" w14:textId="77777777" w:rsidR="000C4185" w:rsidRPr="007D4673" w:rsidRDefault="000C4185" w:rsidP="00471D59">
      <w:pPr>
        <w:spacing w:line="240" w:lineRule="auto"/>
        <w:rPr>
          <w:sz w:val="20"/>
        </w:rPr>
      </w:pPr>
    </w:p>
    <w:p w14:paraId="7E385786" w14:textId="77777777" w:rsidR="000C4185" w:rsidRPr="007D4673" w:rsidRDefault="00251F6E" w:rsidP="00471D59">
      <w:pPr>
        <w:spacing w:line="240" w:lineRule="auto"/>
        <w:rPr>
          <w:sz w:val="20"/>
          <w:szCs w:val="20"/>
        </w:rPr>
      </w:pPr>
      <w:r w:rsidRPr="007D4673">
        <w:rPr>
          <w:sz w:val="20"/>
        </w:rPr>
        <w:t>Voir également l'</w:t>
      </w:r>
      <w:r w:rsidRPr="007D4673">
        <w:rPr>
          <w:i/>
          <w:sz w:val="20"/>
        </w:rPr>
        <w:t>indicateur 3.1</w:t>
      </w:r>
      <w:r w:rsidRPr="007D4673">
        <w:rPr>
          <w:sz w:val="20"/>
        </w:rPr>
        <w:t> :</w:t>
      </w:r>
      <w:r w:rsidRPr="007D4673">
        <w:rPr>
          <w:i/>
          <w:sz w:val="20"/>
        </w:rPr>
        <w:t xml:space="preserve"> Transparence des processus parlementaires.</w:t>
      </w:r>
    </w:p>
    <w:p w14:paraId="5282AB50" w14:textId="77777777" w:rsidR="000C4185" w:rsidRPr="007D4673" w:rsidRDefault="00251F6E" w:rsidP="00800F6F">
      <w:pPr>
        <w:pStyle w:val="section-title"/>
      </w:pPr>
      <w:r w:rsidRPr="007D467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71D59" w:rsidRPr="007D4673" w14:paraId="09A16251" w14:textId="77777777" w:rsidTr="001C68E5">
        <w:tc>
          <w:tcPr>
            <w:tcW w:w="5000" w:type="pct"/>
            <w:shd w:val="clear" w:color="auto" w:fill="EEEEEE"/>
          </w:tcPr>
          <w:p w14:paraId="79F2EACF" w14:textId="77777777" w:rsidR="000C4185" w:rsidRPr="007D4673" w:rsidRDefault="00251F6E" w:rsidP="00471D59">
            <w:pPr>
              <w:spacing w:after="160" w:line="240" w:lineRule="auto"/>
              <w:rPr>
                <w:i/>
                <w:sz w:val="20"/>
                <w:szCs w:val="20"/>
              </w:rPr>
            </w:pPr>
            <w:r w:rsidRPr="007D4673">
              <w:rPr>
                <w:i/>
                <w:sz w:val="20"/>
              </w:rPr>
              <w:t>Après une analyse comparative, les parlements pourraient par exemple viser les objectifs suivants en ce qui concerne le droit à l'information :</w:t>
            </w:r>
          </w:p>
          <w:p w14:paraId="772703BA" w14:textId="12AB6C86" w:rsidR="000C4185" w:rsidRPr="007D4673" w:rsidRDefault="00251F6E" w:rsidP="00471D59">
            <w:pPr>
              <w:spacing w:line="240" w:lineRule="auto"/>
              <w:rPr>
                <w:sz w:val="20"/>
                <w:szCs w:val="20"/>
              </w:rPr>
            </w:pPr>
            <w:r w:rsidRPr="007D4673">
              <w:rPr>
                <w:sz w:val="20"/>
              </w:rPr>
              <w:t xml:space="preserve">Le cadre juridique établit un dispositif </w:t>
            </w:r>
            <w:r w:rsidR="005E4C4B" w:rsidRPr="007D4673">
              <w:rPr>
                <w:sz w:val="20"/>
              </w:rPr>
              <w:t xml:space="preserve">garantissant le libre </w:t>
            </w:r>
            <w:r w:rsidRPr="007D4673">
              <w:rPr>
                <w:sz w:val="20"/>
              </w:rPr>
              <w:t>accès à l'information parlementaire conforme aux obligations et aux bonnes pratiques nationales et internationales. N'importe quel citoyen ou n'importe quelle organisation peut demander des informations dans le cadre du dispositif garantissant la liberté d'accès à l'information parlementaire.</w:t>
            </w:r>
          </w:p>
          <w:p w14:paraId="2EC6F294" w14:textId="77777777" w:rsidR="000C4185" w:rsidRPr="007D4673" w:rsidRDefault="000C4185" w:rsidP="00471D59">
            <w:pPr>
              <w:spacing w:line="240" w:lineRule="auto"/>
              <w:rPr>
                <w:sz w:val="20"/>
                <w:szCs w:val="20"/>
              </w:rPr>
            </w:pPr>
          </w:p>
          <w:p w14:paraId="2154E2EC" w14:textId="77777777" w:rsidR="000C4185" w:rsidRPr="007D4673" w:rsidRDefault="00251F6E" w:rsidP="005E1E02">
            <w:pPr>
              <w:spacing w:line="240" w:lineRule="auto"/>
              <w:rPr>
                <w:sz w:val="20"/>
              </w:rPr>
            </w:pPr>
            <w:r w:rsidRPr="007D4673">
              <w:rPr>
                <w:sz w:val="20"/>
              </w:rPr>
              <w:t xml:space="preserve">Le parlement respecte en matière d'accès à l'information des lignes directrices détaillées exigeant une divulgation maximale de l'information, y compris les informations concernant ses procédures et processus, mais aussi son administration. </w:t>
            </w:r>
          </w:p>
          <w:p w14:paraId="50923254" w14:textId="77777777" w:rsidR="000C4185" w:rsidRPr="007D4673" w:rsidRDefault="000C4185" w:rsidP="00471D59">
            <w:pPr>
              <w:spacing w:line="240" w:lineRule="auto"/>
              <w:rPr>
                <w:sz w:val="20"/>
              </w:rPr>
            </w:pPr>
          </w:p>
          <w:p w14:paraId="13A19C02" w14:textId="1BCC77C6" w:rsidR="000C4185" w:rsidRPr="007D4673" w:rsidRDefault="00251F6E" w:rsidP="00471D59">
            <w:pPr>
              <w:spacing w:line="240" w:lineRule="auto"/>
              <w:rPr>
                <w:sz w:val="20"/>
                <w:szCs w:val="20"/>
              </w:rPr>
            </w:pPr>
            <w:r w:rsidRPr="007D4673">
              <w:rPr>
                <w:sz w:val="20"/>
              </w:rPr>
              <w:t xml:space="preserve">Toute exception est définie de façon claire et étroite par la loi, la divulgation étant considérée comme fortement dans l'intérêt général. Le privilège parlementaire peut limiter l'accès à l'information dans des circonstances </w:t>
            </w:r>
            <w:r w:rsidR="005E4C4B" w:rsidRPr="007D4673">
              <w:rPr>
                <w:sz w:val="20"/>
              </w:rPr>
              <w:t xml:space="preserve">très </w:t>
            </w:r>
            <w:r w:rsidRPr="007D4673">
              <w:rPr>
                <w:sz w:val="20"/>
              </w:rPr>
              <w:t xml:space="preserve">spécifiques </w:t>
            </w:r>
            <w:r w:rsidR="005E4C4B" w:rsidRPr="007D4673">
              <w:rPr>
                <w:sz w:val="20"/>
              </w:rPr>
              <w:t xml:space="preserve">et </w:t>
            </w:r>
            <w:r w:rsidRPr="007D4673">
              <w:rPr>
                <w:sz w:val="20"/>
              </w:rPr>
              <w:t>clairement définies.</w:t>
            </w:r>
          </w:p>
          <w:p w14:paraId="39EAA3E3" w14:textId="77777777" w:rsidR="000C4185" w:rsidRPr="007D4673" w:rsidRDefault="000C4185" w:rsidP="00471D59">
            <w:pPr>
              <w:spacing w:line="240" w:lineRule="auto"/>
              <w:rPr>
                <w:sz w:val="20"/>
                <w:szCs w:val="20"/>
              </w:rPr>
            </w:pPr>
          </w:p>
          <w:p w14:paraId="799E06EA" w14:textId="3B5FAFEB" w:rsidR="000C4185" w:rsidRPr="007D4673" w:rsidRDefault="00251F6E" w:rsidP="00471D59">
            <w:pPr>
              <w:spacing w:line="240" w:lineRule="auto"/>
              <w:rPr>
                <w:sz w:val="20"/>
              </w:rPr>
            </w:pPr>
            <w:r w:rsidRPr="007D4673">
              <w:rPr>
                <w:sz w:val="20"/>
              </w:rPr>
              <w:t>Le dispositif garantissant la liberté d'accès à l'information parlement</w:t>
            </w:r>
            <w:r w:rsidR="005E4C4B" w:rsidRPr="007D4673">
              <w:rPr>
                <w:sz w:val="20"/>
              </w:rPr>
              <w:t>aire</w:t>
            </w:r>
            <w:r w:rsidRPr="007D4673">
              <w:rPr>
                <w:sz w:val="20"/>
              </w:rPr>
              <w:t xml:space="preserve"> fixe des normes pour la publication volontaire de catégories prédéterminées d'information, y compris dans des formats informatisés ouverts. </w:t>
            </w:r>
          </w:p>
          <w:p w14:paraId="3E7C3BD7" w14:textId="77777777" w:rsidR="000C4185" w:rsidRPr="007D4673" w:rsidRDefault="000C4185" w:rsidP="00471D59">
            <w:pPr>
              <w:spacing w:line="240" w:lineRule="auto"/>
              <w:rPr>
                <w:sz w:val="20"/>
                <w:szCs w:val="20"/>
              </w:rPr>
            </w:pPr>
          </w:p>
          <w:p w14:paraId="3F107242" w14:textId="112547EE" w:rsidR="000C4185" w:rsidRPr="007D4673" w:rsidRDefault="00251F6E" w:rsidP="00E8720D">
            <w:pPr>
              <w:spacing w:line="240" w:lineRule="auto"/>
              <w:rPr>
                <w:sz w:val="20"/>
                <w:szCs w:val="20"/>
              </w:rPr>
            </w:pPr>
            <w:r w:rsidRPr="007D4673">
              <w:rPr>
                <w:sz w:val="20"/>
              </w:rPr>
              <w:t>L</w:t>
            </w:r>
            <w:r w:rsidR="005E4C4B" w:rsidRPr="007D4673">
              <w:rPr>
                <w:sz w:val="20"/>
              </w:rPr>
              <w:t xml:space="preserve">e parlement communique l’information </w:t>
            </w:r>
            <w:r w:rsidRPr="007D4673">
              <w:rPr>
                <w:sz w:val="20"/>
              </w:rPr>
              <w:t xml:space="preserve">de façon cohérente et </w:t>
            </w:r>
            <w:r w:rsidR="005E4C4B" w:rsidRPr="007D4673">
              <w:rPr>
                <w:sz w:val="20"/>
              </w:rPr>
              <w:t xml:space="preserve">rapide en </w:t>
            </w:r>
            <w:r w:rsidRPr="007D4673">
              <w:rPr>
                <w:sz w:val="20"/>
              </w:rPr>
              <w:t xml:space="preserve">réponse aux demandes d'accès à l'information </w:t>
            </w:r>
            <w:r w:rsidR="005E4C4B" w:rsidRPr="007D4673">
              <w:rPr>
                <w:sz w:val="20"/>
              </w:rPr>
              <w:t>qui lui parviennent</w:t>
            </w:r>
            <w:r w:rsidRPr="007D4673">
              <w:rPr>
                <w:sz w:val="20"/>
              </w:rPr>
              <w:t xml:space="preserve">. Les refus de divulguer l'information, ou la divulgation d'informations incomplètes sont soumis à l'examen d'une instance indépendante externe, dont les décisions sont contraignantes. </w:t>
            </w:r>
          </w:p>
          <w:p w14:paraId="74FC2EEE" w14:textId="77777777" w:rsidR="000C4185" w:rsidRPr="007D4673" w:rsidRDefault="000C4185" w:rsidP="00471D59">
            <w:pPr>
              <w:spacing w:line="240" w:lineRule="auto"/>
              <w:rPr>
                <w:sz w:val="20"/>
                <w:szCs w:val="20"/>
              </w:rPr>
            </w:pPr>
          </w:p>
        </w:tc>
      </w:tr>
    </w:tbl>
    <w:p w14:paraId="0F4568AA" w14:textId="77777777" w:rsidR="000C4185" w:rsidRPr="007D4673" w:rsidRDefault="00251F6E" w:rsidP="00800F6F">
      <w:pPr>
        <w:pStyle w:val="section-title"/>
      </w:pPr>
      <w:r w:rsidRPr="007D4673">
        <w:t>Évaluation</w:t>
      </w:r>
    </w:p>
    <w:p w14:paraId="74CCEDD0" w14:textId="77777777" w:rsidR="000C4185" w:rsidRPr="007D4673" w:rsidRDefault="00251F6E" w:rsidP="00471D59">
      <w:pPr>
        <w:spacing w:before="200" w:line="240" w:lineRule="auto"/>
        <w:rPr>
          <w:sz w:val="20"/>
          <w:szCs w:val="20"/>
        </w:rPr>
      </w:pPr>
      <w:r w:rsidRPr="007D467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4CC3D45" w14:textId="77777777" w:rsidR="000C4185" w:rsidRPr="007D4673" w:rsidRDefault="00251F6E" w:rsidP="00471D59">
      <w:pPr>
        <w:spacing w:before="200" w:line="240" w:lineRule="auto"/>
        <w:rPr>
          <w:sz w:val="20"/>
          <w:szCs w:val="20"/>
        </w:rPr>
      </w:pPr>
      <w:r w:rsidRPr="007D4673">
        <w:rPr>
          <w:sz w:val="20"/>
        </w:rPr>
        <w:t>Exemples d'éléments permettant d'étayer l'évaluation :</w:t>
      </w:r>
    </w:p>
    <w:p w14:paraId="5A5771E2" w14:textId="77777777" w:rsidR="000C4185" w:rsidRPr="007D4673" w:rsidRDefault="000C4185" w:rsidP="001C68E5">
      <w:pPr>
        <w:spacing w:line="240" w:lineRule="auto"/>
        <w:rPr>
          <w:sz w:val="20"/>
          <w:szCs w:val="20"/>
        </w:rPr>
      </w:pPr>
    </w:p>
    <w:p w14:paraId="67B8C1A4" w14:textId="1D0B5D18" w:rsidR="000C4185" w:rsidRPr="007D4673" w:rsidRDefault="00251F6E" w:rsidP="001C68E5">
      <w:pPr>
        <w:numPr>
          <w:ilvl w:val="0"/>
          <w:numId w:val="29"/>
        </w:numPr>
        <w:spacing w:line="240" w:lineRule="auto"/>
        <w:ind w:left="562" w:hanging="562"/>
        <w:rPr>
          <w:sz w:val="20"/>
          <w:szCs w:val="20"/>
        </w:rPr>
      </w:pPr>
      <w:r w:rsidRPr="007D4673">
        <w:rPr>
          <w:sz w:val="20"/>
        </w:rPr>
        <w:t xml:space="preserve">Dispositions du cadre juridique relatives </w:t>
      </w:r>
      <w:r w:rsidR="003401DF" w:rsidRPr="007D4673">
        <w:rPr>
          <w:sz w:val="20"/>
        </w:rPr>
        <w:t xml:space="preserve">au libre </w:t>
      </w:r>
      <w:r w:rsidRPr="007D4673">
        <w:rPr>
          <w:sz w:val="20"/>
        </w:rPr>
        <w:t>accès à l'information parlementaire</w:t>
      </w:r>
    </w:p>
    <w:p w14:paraId="35E9A8EA" w14:textId="77777777" w:rsidR="000C4185" w:rsidRPr="007D4673" w:rsidRDefault="00251F6E" w:rsidP="001C68E5">
      <w:pPr>
        <w:numPr>
          <w:ilvl w:val="0"/>
          <w:numId w:val="29"/>
        </w:numPr>
        <w:spacing w:line="240" w:lineRule="auto"/>
        <w:ind w:left="562" w:hanging="562"/>
        <w:rPr>
          <w:sz w:val="20"/>
          <w:szCs w:val="20"/>
        </w:rPr>
      </w:pPr>
      <w:r w:rsidRPr="007D4673">
        <w:rPr>
          <w:sz w:val="20"/>
        </w:rPr>
        <w:t>Lignes directrices relatives à la liberté d'accès à l'information parlementaire</w:t>
      </w:r>
    </w:p>
    <w:p w14:paraId="6001E7E8" w14:textId="42D6DB41" w:rsidR="000C4185" w:rsidRPr="007D4673" w:rsidRDefault="00251F6E" w:rsidP="001C68E5">
      <w:pPr>
        <w:numPr>
          <w:ilvl w:val="0"/>
          <w:numId w:val="29"/>
        </w:numPr>
        <w:spacing w:line="240" w:lineRule="auto"/>
        <w:ind w:left="562" w:hanging="562"/>
        <w:rPr>
          <w:sz w:val="20"/>
          <w:szCs w:val="20"/>
        </w:rPr>
      </w:pPr>
      <w:r w:rsidRPr="007D4673">
        <w:rPr>
          <w:sz w:val="20"/>
        </w:rPr>
        <w:t>Catégories d'information</w:t>
      </w:r>
      <w:r w:rsidR="005C2BAA">
        <w:rPr>
          <w:sz w:val="20"/>
        </w:rPr>
        <w:t>s</w:t>
      </w:r>
      <w:r w:rsidRPr="007D4673">
        <w:rPr>
          <w:sz w:val="20"/>
        </w:rPr>
        <w:t xml:space="preserve"> publiées de façon volontaire</w:t>
      </w:r>
    </w:p>
    <w:p w14:paraId="442A9363" w14:textId="51DA444D" w:rsidR="000C4185" w:rsidRPr="007D4673" w:rsidRDefault="00251F6E" w:rsidP="001C68E5">
      <w:pPr>
        <w:numPr>
          <w:ilvl w:val="0"/>
          <w:numId w:val="29"/>
        </w:numPr>
        <w:spacing w:line="240" w:lineRule="auto"/>
        <w:ind w:left="562" w:hanging="562"/>
        <w:rPr>
          <w:sz w:val="20"/>
          <w:szCs w:val="20"/>
        </w:rPr>
      </w:pPr>
      <w:r w:rsidRPr="007D4673">
        <w:rPr>
          <w:sz w:val="20"/>
        </w:rPr>
        <w:t>Données chiffrées sur les demandes d'accès à l'information, y compris le nombre de demandes reçues et approuvées, les délais de réponse, les coûts</w:t>
      </w:r>
      <w:r w:rsidR="003401DF" w:rsidRPr="007D4673">
        <w:rPr>
          <w:sz w:val="20"/>
        </w:rPr>
        <w:t>, ainsi que</w:t>
      </w:r>
      <w:r w:rsidRPr="007D4673">
        <w:rPr>
          <w:sz w:val="20"/>
        </w:rPr>
        <w:t xml:space="preserve"> les recours et leur issue</w:t>
      </w:r>
    </w:p>
    <w:p w14:paraId="30650A38" w14:textId="77777777" w:rsidR="000C4185" w:rsidRPr="007D4673" w:rsidRDefault="000C4185" w:rsidP="00471D59">
      <w:pPr>
        <w:spacing w:line="240" w:lineRule="auto"/>
        <w:rPr>
          <w:sz w:val="20"/>
          <w:szCs w:val="20"/>
        </w:rPr>
      </w:pPr>
    </w:p>
    <w:p w14:paraId="2F45C43C" w14:textId="77777777" w:rsidR="000C4185" w:rsidRPr="007D4673" w:rsidRDefault="00251F6E" w:rsidP="00471D59">
      <w:pPr>
        <w:spacing w:line="240" w:lineRule="auto"/>
        <w:rPr>
          <w:sz w:val="20"/>
          <w:szCs w:val="20"/>
        </w:rPr>
      </w:pPr>
      <w:r w:rsidRPr="007D4673">
        <w:rPr>
          <w:sz w:val="20"/>
        </w:rPr>
        <w:t>Le cas échéant, merci de bien vouloir communiquer des observations ou exemples supplémentaires pour étayer l'évaluation.</w:t>
      </w:r>
    </w:p>
    <w:p w14:paraId="22860CFD" w14:textId="77777777" w:rsidR="000C4185" w:rsidRPr="007D4673" w:rsidRDefault="00251F6E" w:rsidP="00D20D38">
      <w:pPr>
        <w:pStyle w:val="Titre4"/>
      </w:pPr>
      <w:bookmarkStart w:id="19" w:name="_ybloqhtxzg1z"/>
      <w:bookmarkEnd w:id="19"/>
      <w:r w:rsidRPr="007D4673">
        <w:t>Critère d'évaluation n° 1 : Dispositif garantissant la liberté d'accès à l'information parlementaire</w:t>
      </w:r>
    </w:p>
    <w:p w14:paraId="0BACFB90" w14:textId="77777777" w:rsidR="000C4185" w:rsidRPr="007D4673" w:rsidRDefault="00251F6E" w:rsidP="00E8720D">
      <w:pPr>
        <w:spacing w:line="240" w:lineRule="auto"/>
        <w:rPr>
          <w:sz w:val="20"/>
          <w:szCs w:val="20"/>
        </w:rPr>
      </w:pPr>
      <w:r w:rsidRPr="007D4673">
        <w:rPr>
          <w:sz w:val="20"/>
        </w:rPr>
        <w:t>Le cadre juridique établit un dispositif garantissant le libre accès à l'information parlementaire conforme aux obligations et aux bonnes pratiques nationales et internationales. N'importe quel citoyen ou n'importe quelle organisation peut demander des informations dans le cadre du dispositif garantissant la liberté d'accès à l'information parlementaire.</w:t>
      </w:r>
    </w:p>
    <w:p w14:paraId="063B78E4"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1C68E5" w:rsidRPr="007D4673" w14:paraId="2B9417A8" w14:textId="77777777" w:rsidTr="001C68E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299716F" w14:textId="77777777" w:rsidR="000C4185" w:rsidRPr="007D4673" w:rsidRDefault="00251F6E">
            <w:pPr>
              <w:jc w:val="center"/>
              <w:rPr>
                <w:rFonts w:eastAsia="Calibri"/>
                <w:sz w:val="20"/>
                <w:szCs w:val="20"/>
              </w:rPr>
            </w:pPr>
            <w:r w:rsidRPr="007D4673">
              <w:rPr>
                <w:sz w:val="20"/>
              </w:rPr>
              <w:t>Néant</w:t>
            </w:r>
          </w:p>
          <w:p w14:paraId="43A1886A"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FB233A" w14:textId="77777777" w:rsidR="000C4185" w:rsidRPr="007D4673" w:rsidRDefault="00251F6E">
            <w:pPr>
              <w:jc w:val="center"/>
              <w:rPr>
                <w:rFonts w:eastAsia="Calibri"/>
                <w:sz w:val="20"/>
                <w:szCs w:val="20"/>
              </w:rPr>
            </w:pPr>
            <w:r w:rsidRPr="007D4673">
              <w:rPr>
                <w:sz w:val="20"/>
              </w:rPr>
              <w:t xml:space="preserve">Médiocre </w:t>
            </w:r>
          </w:p>
          <w:p w14:paraId="0B831DF3"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0209765" w14:textId="77777777" w:rsidR="000C4185" w:rsidRPr="007D4673" w:rsidRDefault="00251F6E">
            <w:pPr>
              <w:jc w:val="center"/>
              <w:rPr>
                <w:rFonts w:eastAsia="Calibri"/>
                <w:sz w:val="20"/>
                <w:szCs w:val="20"/>
              </w:rPr>
            </w:pPr>
            <w:r w:rsidRPr="007D4673">
              <w:rPr>
                <w:sz w:val="20"/>
              </w:rPr>
              <w:t>Moyen</w:t>
            </w:r>
          </w:p>
          <w:p w14:paraId="3D5CC64C"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B302BD3" w14:textId="77777777" w:rsidR="000C4185" w:rsidRPr="007D4673" w:rsidRDefault="00251F6E">
            <w:pPr>
              <w:jc w:val="center"/>
              <w:rPr>
                <w:rFonts w:eastAsia="Calibri"/>
                <w:sz w:val="20"/>
                <w:szCs w:val="20"/>
              </w:rPr>
            </w:pPr>
            <w:r w:rsidRPr="007D4673">
              <w:rPr>
                <w:sz w:val="20"/>
              </w:rPr>
              <w:t>Bon</w:t>
            </w:r>
          </w:p>
          <w:p w14:paraId="720E0BC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E7A29F" w14:textId="77777777" w:rsidR="000C4185" w:rsidRPr="007D4673" w:rsidRDefault="00251F6E">
            <w:pPr>
              <w:jc w:val="center"/>
              <w:rPr>
                <w:rFonts w:eastAsia="Calibri"/>
                <w:sz w:val="20"/>
                <w:szCs w:val="20"/>
              </w:rPr>
            </w:pPr>
            <w:r w:rsidRPr="007D4673">
              <w:rPr>
                <w:sz w:val="20"/>
              </w:rPr>
              <w:t>Très bon</w:t>
            </w:r>
          </w:p>
          <w:p w14:paraId="14567E03"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52D012B" w14:textId="77777777" w:rsidR="000C4185" w:rsidRPr="007D4673" w:rsidRDefault="00251F6E">
            <w:pPr>
              <w:jc w:val="center"/>
              <w:rPr>
                <w:rFonts w:eastAsia="Calibri"/>
                <w:sz w:val="20"/>
                <w:szCs w:val="20"/>
              </w:rPr>
            </w:pPr>
            <w:r w:rsidRPr="007D4673">
              <w:rPr>
                <w:sz w:val="20"/>
              </w:rPr>
              <w:t>Excellent</w:t>
            </w:r>
          </w:p>
          <w:p w14:paraId="3A92C4C9"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1C68E5" w:rsidRPr="007D4673" w14:paraId="28111CA0" w14:textId="77777777" w:rsidTr="001C68E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C4A31" w14:textId="77777777" w:rsidR="000C4185" w:rsidRPr="007D4673" w:rsidRDefault="00251F6E">
            <w:pPr>
              <w:rPr>
                <w:rFonts w:eastAsia="Calibri"/>
                <w:color w:val="005F9A"/>
                <w:sz w:val="20"/>
                <w:szCs w:val="20"/>
              </w:rPr>
            </w:pPr>
            <w:r w:rsidRPr="007D4673">
              <w:rPr>
                <w:color w:val="005F9A"/>
                <w:sz w:val="20"/>
              </w:rPr>
              <w:t>Éléments à l'appui de l'évaluation :</w:t>
            </w:r>
          </w:p>
          <w:p w14:paraId="4E97228D" w14:textId="77777777" w:rsidR="000C4185" w:rsidRPr="007D4673" w:rsidRDefault="000C4185">
            <w:pPr>
              <w:rPr>
                <w:rFonts w:eastAsia="Calibri"/>
                <w:color w:val="0000FF"/>
                <w:sz w:val="20"/>
                <w:szCs w:val="20"/>
              </w:rPr>
            </w:pPr>
          </w:p>
          <w:p w14:paraId="171552AB" w14:textId="77777777" w:rsidR="000C4185" w:rsidRPr="007D4673" w:rsidRDefault="000C4185">
            <w:pPr>
              <w:rPr>
                <w:rFonts w:eastAsia="Calibri"/>
                <w:color w:val="0000FF"/>
                <w:sz w:val="20"/>
                <w:szCs w:val="20"/>
              </w:rPr>
            </w:pPr>
          </w:p>
        </w:tc>
      </w:tr>
    </w:tbl>
    <w:p w14:paraId="3383E9F0" w14:textId="77777777" w:rsidR="000C4185" w:rsidRPr="007D4673" w:rsidRDefault="00251F6E" w:rsidP="00D20D38">
      <w:pPr>
        <w:pStyle w:val="Titre4"/>
      </w:pPr>
      <w:bookmarkStart w:id="20" w:name="_dzjrdtdtd0zi"/>
      <w:bookmarkEnd w:id="20"/>
      <w:r w:rsidRPr="007D4673">
        <w:t xml:space="preserve">Critère d'évaluation n° 2 : Lignes directrices </w:t>
      </w:r>
    </w:p>
    <w:p w14:paraId="66B25E6C" w14:textId="77777777" w:rsidR="000C4185" w:rsidRPr="007D4673" w:rsidRDefault="00251F6E" w:rsidP="00E8720D">
      <w:pPr>
        <w:spacing w:line="240" w:lineRule="auto"/>
        <w:rPr>
          <w:sz w:val="20"/>
        </w:rPr>
      </w:pPr>
      <w:r w:rsidRPr="007D4673">
        <w:rPr>
          <w:sz w:val="20"/>
        </w:rPr>
        <w:t xml:space="preserve">Le parlement respecte en matière d'accès à l'information des lignes directrices détaillées exigeant une divulgation maximale de l'information, y compris les informations concernant ses procédures et processus, mais aussi son administration. </w:t>
      </w:r>
    </w:p>
    <w:p w14:paraId="63DD44F3"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55C93" w:rsidRPr="007D4673" w14:paraId="1B51AF0F" w14:textId="77777777" w:rsidTr="00E8720D">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AAB17D0" w14:textId="77777777" w:rsidR="000C4185" w:rsidRPr="007D4673" w:rsidRDefault="00251F6E">
            <w:pPr>
              <w:jc w:val="center"/>
              <w:rPr>
                <w:rFonts w:eastAsia="Calibri"/>
                <w:sz w:val="20"/>
                <w:szCs w:val="20"/>
              </w:rPr>
            </w:pPr>
            <w:r w:rsidRPr="007D4673">
              <w:rPr>
                <w:sz w:val="20"/>
              </w:rPr>
              <w:t>Néant</w:t>
            </w:r>
          </w:p>
          <w:p w14:paraId="50BD51D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FA7A2F" w14:textId="77777777" w:rsidR="000C4185" w:rsidRPr="007D4673" w:rsidRDefault="00251F6E">
            <w:pPr>
              <w:jc w:val="center"/>
              <w:rPr>
                <w:rFonts w:eastAsia="Calibri"/>
                <w:sz w:val="20"/>
                <w:szCs w:val="20"/>
              </w:rPr>
            </w:pPr>
            <w:r w:rsidRPr="007D4673">
              <w:rPr>
                <w:sz w:val="20"/>
              </w:rPr>
              <w:t xml:space="preserve">Médiocre </w:t>
            </w:r>
          </w:p>
          <w:p w14:paraId="692E09F4"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40CE47" w14:textId="77777777" w:rsidR="000C4185" w:rsidRPr="007D4673" w:rsidRDefault="00251F6E">
            <w:pPr>
              <w:jc w:val="center"/>
              <w:rPr>
                <w:rFonts w:eastAsia="Calibri"/>
                <w:sz w:val="20"/>
                <w:szCs w:val="20"/>
              </w:rPr>
            </w:pPr>
            <w:r w:rsidRPr="007D4673">
              <w:rPr>
                <w:sz w:val="20"/>
              </w:rPr>
              <w:t>Moyen</w:t>
            </w:r>
          </w:p>
          <w:p w14:paraId="1F363E34"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FD2482" w14:textId="77777777" w:rsidR="000C4185" w:rsidRPr="007D4673" w:rsidRDefault="00251F6E">
            <w:pPr>
              <w:jc w:val="center"/>
              <w:rPr>
                <w:rFonts w:eastAsia="Calibri"/>
                <w:sz w:val="20"/>
                <w:szCs w:val="20"/>
              </w:rPr>
            </w:pPr>
            <w:r w:rsidRPr="007D4673">
              <w:rPr>
                <w:sz w:val="20"/>
              </w:rPr>
              <w:t>Bon</w:t>
            </w:r>
          </w:p>
          <w:p w14:paraId="506E8457"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AD7D3D9" w14:textId="77777777" w:rsidR="000C4185" w:rsidRPr="007D4673" w:rsidRDefault="00251F6E">
            <w:pPr>
              <w:jc w:val="center"/>
              <w:rPr>
                <w:rFonts w:eastAsia="Calibri"/>
                <w:sz w:val="20"/>
                <w:szCs w:val="20"/>
              </w:rPr>
            </w:pPr>
            <w:r w:rsidRPr="007D4673">
              <w:rPr>
                <w:sz w:val="20"/>
              </w:rPr>
              <w:t>Très bon</w:t>
            </w:r>
          </w:p>
          <w:p w14:paraId="04E7084C"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2E3604A2" w14:textId="77777777" w:rsidR="000C4185" w:rsidRPr="007D4673" w:rsidRDefault="00251F6E">
            <w:pPr>
              <w:jc w:val="center"/>
              <w:rPr>
                <w:rFonts w:eastAsia="Calibri"/>
                <w:sz w:val="20"/>
                <w:szCs w:val="20"/>
              </w:rPr>
            </w:pPr>
            <w:r w:rsidRPr="007D4673">
              <w:rPr>
                <w:sz w:val="20"/>
              </w:rPr>
              <w:t>Excellent</w:t>
            </w:r>
          </w:p>
          <w:p w14:paraId="695C7717"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E55C93" w:rsidRPr="007D4673" w14:paraId="30C85CD3"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59609" w14:textId="77777777" w:rsidR="000C4185" w:rsidRPr="007D4673" w:rsidRDefault="00251F6E">
            <w:pPr>
              <w:rPr>
                <w:rFonts w:eastAsia="Calibri"/>
                <w:color w:val="005F9A"/>
                <w:sz w:val="20"/>
                <w:szCs w:val="20"/>
              </w:rPr>
            </w:pPr>
            <w:r w:rsidRPr="007D4673">
              <w:rPr>
                <w:color w:val="005F9A"/>
                <w:sz w:val="20"/>
              </w:rPr>
              <w:t>Éléments à l'appui de l'évaluation :</w:t>
            </w:r>
          </w:p>
          <w:p w14:paraId="7C49AAF6" w14:textId="77777777" w:rsidR="000C4185" w:rsidRPr="007D4673" w:rsidRDefault="000C4185">
            <w:pPr>
              <w:rPr>
                <w:rFonts w:eastAsia="Calibri"/>
                <w:color w:val="0000FF"/>
                <w:sz w:val="20"/>
                <w:szCs w:val="20"/>
              </w:rPr>
            </w:pPr>
          </w:p>
          <w:p w14:paraId="31309B73" w14:textId="77777777" w:rsidR="000C4185" w:rsidRPr="007D4673" w:rsidRDefault="000C4185">
            <w:pPr>
              <w:rPr>
                <w:rFonts w:eastAsia="Calibri"/>
                <w:color w:val="0000FF"/>
                <w:sz w:val="20"/>
                <w:szCs w:val="20"/>
              </w:rPr>
            </w:pPr>
          </w:p>
        </w:tc>
      </w:tr>
    </w:tbl>
    <w:p w14:paraId="119DE086" w14:textId="77777777" w:rsidR="000C4185" w:rsidRPr="007D4673" w:rsidRDefault="00251F6E" w:rsidP="00D20D38">
      <w:pPr>
        <w:pStyle w:val="Titre4"/>
      </w:pPr>
      <w:bookmarkStart w:id="21" w:name="_fyu15dotigvc"/>
      <w:bookmarkEnd w:id="21"/>
      <w:r w:rsidRPr="007D4673">
        <w:t>Critère d'évaluation n° 3 : Exceptions</w:t>
      </w:r>
    </w:p>
    <w:p w14:paraId="70BB2E4C" w14:textId="678C5978" w:rsidR="000C4185" w:rsidRPr="007D4673" w:rsidRDefault="00251F6E" w:rsidP="00E8720D">
      <w:pPr>
        <w:spacing w:line="240" w:lineRule="auto"/>
        <w:rPr>
          <w:sz w:val="20"/>
          <w:szCs w:val="20"/>
        </w:rPr>
      </w:pPr>
      <w:r w:rsidRPr="007D4673">
        <w:rPr>
          <w:sz w:val="20"/>
        </w:rPr>
        <w:t xml:space="preserve">Toute exception est définie de façon claire et étroite par la loi, la divulgation étant considérée comme fortement dans l'intérêt général. Le privilège parlementaire peut limiter l'accès à l'information dans des circonstances </w:t>
      </w:r>
      <w:r w:rsidR="003401DF" w:rsidRPr="007D4673">
        <w:rPr>
          <w:sz w:val="20"/>
        </w:rPr>
        <w:t xml:space="preserve">très </w:t>
      </w:r>
      <w:r w:rsidRPr="007D4673">
        <w:rPr>
          <w:sz w:val="20"/>
        </w:rPr>
        <w:t xml:space="preserve">spécifiques </w:t>
      </w:r>
      <w:r w:rsidR="003401DF" w:rsidRPr="007D4673">
        <w:rPr>
          <w:sz w:val="20"/>
        </w:rPr>
        <w:t xml:space="preserve">et </w:t>
      </w:r>
      <w:r w:rsidRPr="007D4673">
        <w:rPr>
          <w:sz w:val="20"/>
        </w:rPr>
        <w:t>clairement définies.</w:t>
      </w:r>
    </w:p>
    <w:p w14:paraId="57EC0D99" w14:textId="77777777" w:rsidR="000C4185" w:rsidRPr="007D4673" w:rsidRDefault="000C4185" w:rsidP="00E8720D">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8720D" w:rsidRPr="007D4673" w14:paraId="7543EEA3" w14:textId="77777777" w:rsidTr="00BD3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5D28751" w14:textId="77777777" w:rsidR="000C4185" w:rsidRPr="007D4673" w:rsidRDefault="00251F6E" w:rsidP="00BD37E3">
            <w:pPr>
              <w:jc w:val="center"/>
              <w:rPr>
                <w:rFonts w:eastAsia="Calibri"/>
                <w:sz w:val="20"/>
                <w:szCs w:val="20"/>
              </w:rPr>
            </w:pPr>
            <w:r w:rsidRPr="007D4673">
              <w:rPr>
                <w:sz w:val="20"/>
              </w:rPr>
              <w:t>Néant</w:t>
            </w:r>
          </w:p>
          <w:p w14:paraId="489DF502"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CD2B9C" w14:textId="77777777" w:rsidR="000C4185" w:rsidRPr="007D4673" w:rsidRDefault="00251F6E" w:rsidP="00BD37E3">
            <w:pPr>
              <w:jc w:val="center"/>
              <w:rPr>
                <w:rFonts w:eastAsia="Calibri"/>
                <w:sz w:val="20"/>
                <w:szCs w:val="20"/>
              </w:rPr>
            </w:pPr>
            <w:r w:rsidRPr="007D4673">
              <w:rPr>
                <w:sz w:val="20"/>
              </w:rPr>
              <w:t xml:space="preserve">Médiocre </w:t>
            </w:r>
          </w:p>
          <w:p w14:paraId="500EF05D"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2800D1" w14:textId="77777777" w:rsidR="000C4185" w:rsidRPr="007D4673" w:rsidRDefault="00251F6E" w:rsidP="00BD37E3">
            <w:pPr>
              <w:jc w:val="center"/>
              <w:rPr>
                <w:rFonts w:eastAsia="Calibri"/>
                <w:sz w:val="20"/>
                <w:szCs w:val="20"/>
              </w:rPr>
            </w:pPr>
            <w:r w:rsidRPr="007D4673">
              <w:rPr>
                <w:sz w:val="20"/>
              </w:rPr>
              <w:t>Moyen</w:t>
            </w:r>
          </w:p>
          <w:p w14:paraId="61B43461"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4A6100" w14:textId="77777777" w:rsidR="000C4185" w:rsidRPr="007D4673" w:rsidRDefault="00251F6E" w:rsidP="00BD37E3">
            <w:pPr>
              <w:jc w:val="center"/>
              <w:rPr>
                <w:rFonts w:eastAsia="Calibri"/>
                <w:sz w:val="20"/>
                <w:szCs w:val="20"/>
              </w:rPr>
            </w:pPr>
            <w:r w:rsidRPr="007D4673">
              <w:rPr>
                <w:sz w:val="20"/>
              </w:rPr>
              <w:t>Bon</w:t>
            </w:r>
          </w:p>
          <w:p w14:paraId="15782F32"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B73DBF" w14:textId="77777777" w:rsidR="000C4185" w:rsidRPr="007D4673" w:rsidRDefault="00251F6E" w:rsidP="00BD37E3">
            <w:pPr>
              <w:jc w:val="center"/>
              <w:rPr>
                <w:rFonts w:eastAsia="Calibri"/>
                <w:sz w:val="20"/>
                <w:szCs w:val="20"/>
              </w:rPr>
            </w:pPr>
            <w:r w:rsidRPr="007D4673">
              <w:rPr>
                <w:sz w:val="20"/>
              </w:rPr>
              <w:t>Très bon</w:t>
            </w:r>
          </w:p>
          <w:p w14:paraId="16C8A527"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A7477B3" w14:textId="77777777" w:rsidR="000C4185" w:rsidRPr="007D4673" w:rsidRDefault="00251F6E" w:rsidP="00BD37E3">
            <w:pPr>
              <w:jc w:val="center"/>
              <w:rPr>
                <w:rFonts w:eastAsia="Calibri"/>
                <w:sz w:val="20"/>
                <w:szCs w:val="20"/>
              </w:rPr>
            </w:pPr>
            <w:r w:rsidRPr="007D4673">
              <w:rPr>
                <w:sz w:val="20"/>
              </w:rPr>
              <w:t>Excellent</w:t>
            </w:r>
          </w:p>
          <w:p w14:paraId="5120E026"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r>
      <w:tr w:rsidR="00E8720D" w:rsidRPr="007D4673" w14:paraId="55658DF2" w14:textId="77777777" w:rsidTr="00BD3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6E571" w14:textId="77777777" w:rsidR="000C4185" w:rsidRPr="007D4673" w:rsidRDefault="00251F6E" w:rsidP="00BD37E3">
            <w:pPr>
              <w:rPr>
                <w:rFonts w:eastAsia="Calibri"/>
                <w:color w:val="005F9A"/>
                <w:sz w:val="20"/>
                <w:szCs w:val="20"/>
              </w:rPr>
            </w:pPr>
            <w:r w:rsidRPr="007D4673">
              <w:rPr>
                <w:color w:val="005F9A"/>
                <w:sz w:val="20"/>
              </w:rPr>
              <w:t>Éléments à l'appui de l'évaluation :</w:t>
            </w:r>
          </w:p>
          <w:p w14:paraId="513CEE33" w14:textId="77777777" w:rsidR="000C4185" w:rsidRPr="007D4673" w:rsidRDefault="000C4185" w:rsidP="00BD37E3">
            <w:pPr>
              <w:rPr>
                <w:rFonts w:eastAsia="Calibri"/>
                <w:color w:val="0000FF"/>
                <w:sz w:val="20"/>
                <w:szCs w:val="20"/>
              </w:rPr>
            </w:pPr>
          </w:p>
          <w:p w14:paraId="298B05AD" w14:textId="77777777" w:rsidR="000C4185" w:rsidRPr="007D4673" w:rsidRDefault="000C4185" w:rsidP="00BD37E3">
            <w:pPr>
              <w:rPr>
                <w:rFonts w:eastAsia="Calibri"/>
                <w:color w:val="0000FF"/>
                <w:sz w:val="20"/>
                <w:szCs w:val="20"/>
              </w:rPr>
            </w:pPr>
          </w:p>
        </w:tc>
      </w:tr>
    </w:tbl>
    <w:p w14:paraId="34035D6C" w14:textId="77777777" w:rsidR="000C4185" w:rsidRPr="007D4673" w:rsidRDefault="00251F6E" w:rsidP="00D20D38">
      <w:pPr>
        <w:pStyle w:val="Titre4"/>
      </w:pPr>
      <w:r w:rsidRPr="007D4673">
        <w:t>Critère d'évaluation n° 4 : Publication volontaire de l'information</w:t>
      </w:r>
    </w:p>
    <w:p w14:paraId="0023D048" w14:textId="77777777" w:rsidR="000C4185" w:rsidRPr="007D4673" w:rsidRDefault="00251F6E" w:rsidP="00471D59">
      <w:pPr>
        <w:spacing w:line="240" w:lineRule="auto"/>
        <w:rPr>
          <w:sz w:val="20"/>
          <w:szCs w:val="20"/>
        </w:rPr>
      </w:pPr>
      <w:r w:rsidRPr="007D4673">
        <w:rPr>
          <w:sz w:val="20"/>
        </w:rPr>
        <w:t xml:space="preserve">Le dispositif garantissant la liberté d'accès à l'information parlementaire fixe des normes pour la publication volontaire de catégories prédéterminées d'information, y compris dans des formats informatisés ouverts. </w:t>
      </w:r>
    </w:p>
    <w:p w14:paraId="78F9F7AD"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55C93" w:rsidRPr="007D4673" w14:paraId="22E2D4A4" w14:textId="77777777" w:rsidTr="00E55C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9F976B" w14:textId="77777777" w:rsidR="000C4185" w:rsidRPr="007D4673" w:rsidRDefault="00251F6E">
            <w:pPr>
              <w:jc w:val="center"/>
              <w:rPr>
                <w:rFonts w:eastAsia="Calibri"/>
                <w:sz w:val="20"/>
                <w:szCs w:val="20"/>
              </w:rPr>
            </w:pPr>
            <w:r w:rsidRPr="007D4673">
              <w:rPr>
                <w:sz w:val="20"/>
              </w:rPr>
              <w:t>Néant</w:t>
            </w:r>
          </w:p>
          <w:p w14:paraId="0D80B792"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0F0B65" w14:textId="77777777" w:rsidR="000C4185" w:rsidRPr="007D4673" w:rsidRDefault="00251F6E">
            <w:pPr>
              <w:jc w:val="center"/>
              <w:rPr>
                <w:rFonts w:eastAsia="Calibri"/>
                <w:sz w:val="20"/>
                <w:szCs w:val="20"/>
              </w:rPr>
            </w:pPr>
            <w:r w:rsidRPr="007D4673">
              <w:rPr>
                <w:sz w:val="20"/>
              </w:rPr>
              <w:t xml:space="preserve">Médiocre </w:t>
            </w:r>
          </w:p>
          <w:p w14:paraId="4234F3B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776F88" w14:textId="77777777" w:rsidR="000C4185" w:rsidRPr="007D4673" w:rsidRDefault="00251F6E">
            <w:pPr>
              <w:jc w:val="center"/>
              <w:rPr>
                <w:rFonts w:eastAsia="Calibri"/>
                <w:sz w:val="20"/>
                <w:szCs w:val="20"/>
              </w:rPr>
            </w:pPr>
            <w:r w:rsidRPr="007D4673">
              <w:rPr>
                <w:sz w:val="20"/>
              </w:rPr>
              <w:t>Moyen</w:t>
            </w:r>
          </w:p>
          <w:p w14:paraId="74FE6E06"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FCFD02B" w14:textId="77777777" w:rsidR="000C4185" w:rsidRPr="007D4673" w:rsidRDefault="00251F6E">
            <w:pPr>
              <w:jc w:val="center"/>
              <w:rPr>
                <w:rFonts w:eastAsia="Calibri"/>
                <w:sz w:val="20"/>
                <w:szCs w:val="20"/>
              </w:rPr>
            </w:pPr>
            <w:r w:rsidRPr="007D4673">
              <w:rPr>
                <w:sz w:val="20"/>
              </w:rPr>
              <w:t>Bon</w:t>
            </w:r>
          </w:p>
          <w:p w14:paraId="4271E25B"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0583A5" w14:textId="77777777" w:rsidR="000C4185" w:rsidRPr="007D4673" w:rsidRDefault="00251F6E">
            <w:pPr>
              <w:jc w:val="center"/>
              <w:rPr>
                <w:rFonts w:eastAsia="Calibri"/>
                <w:sz w:val="20"/>
                <w:szCs w:val="20"/>
              </w:rPr>
            </w:pPr>
            <w:r w:rsidRPr="007D4673">
              <w:rPr>
                <w:sz w:val="20"/>
              </w:rPr>
              <w:t>Très bon</w:t>
            </w:r>
          </w:p>
          <w:p w14:paraId="3C980877"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F898790" w14:textId="77777777" w:rsidR="000C4185" w:rsidRPr="007D4673" w:rsidRDefault="00251F6E">
            <w:pPr>
              <w:jc w:val="center"/>
              <w:rPr>
                <w:rFonts w:eastAsia="Calibri"/>
                <w:sz w:val="20"/>
                <w:szCs w:val="20"/>
              </w:rPr>
            </w:pPr>
            <w:r w:rsidRPr="007D4673">
              <w:rPr>
                <w:sz w:val="20"/>
              </w:rPr>
              <w:t>Excellent</w:t>
            </w:r>
          </w:p>
          <w:p w14:paraId="4A2259FB"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E55C93" w:rsidRPr="007D4673" w14:paraId="69940907"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0464FA" w14:textId="77777777" w:rsidR="000C4185" w:rsidRPr="007D4673" w:rsidRDefault="00251F6E">
            <w:pPr>
              <w:rPr>
                <w:rFonts w:eastAsia="Calibri"/>
                <w:color w:val="005F9A"/>
                <w:sz w:val="20"/>
                <w:szCs w:val="20"/>
              </w:rPr>
            </w:pPr>
            <w:r w:rsidRPr="007D4673">
              <w:rPr>
                <w:color w:val="005F9A"/>
                <w:sz w:val="20"/>
              </w:rPr>
              <w:t>Éléments à l'appui de l'évaluation :</w:t>
            </w:r>
          </w:p>
          <w:p w14:paraId="0AA2BD04" w14:textId="77777777" w:rsidR="000C4185" w:rsidRPr="007D4673" w:rsidRDefault="000C4185">
            <w:pPr>
              <w:rPr>
                <w:rFonts w:eastAsia="Calibri"/>
                <w:color w:val="0000FF"/>
                <w:sz w:val="20"/>
                <w:szCs w:val="20"/>
              </w:rPr>
            </w:pPr>
          </w:p>
          <w:p w14:paraId="2039EF0A" w14:textId="77777777" w:rsidR="000C4185" w:rsidRPr="007D4673" w:rsidRDefault="000C4185">
            <w:pPr>
              <w:rPr>
                <w:rFonts w:eastAsia="Calibri"/>
                <w:color w:val="0000FF"/>
                <w:sz w:val="20"/>
                <w:szCs w:val="20"/>
              </w:rPr>
            </w:pPr>
          </w:p>
        </w:tc>
      </w:tr>
    </w:tbl>
    <w:p w14:paraId="6F2B4CCC" w14:textId="77777777" w:rsidR="000C4185" w:rsidRPr="007D4673" w:rsidRDefault="00251F6E" w:rsidP="00D20D38">
      <w:pPr>
        <w:pStyle w:val="Titre4"/>
      </w:pPr>
      <w:bookmarkStart w:id="22" w:name="_vbv41l6jfuww"/>
      <w:bookmarkEnd w:id="22"/>
      <w:r w:rsidRPr="007D4673">
        <w:t>Critère d'évaluation n° 5 : Respect des règles et procédures</w:t>
      </w:r>
    </w:p>
    <w:p w14:paraId="6B2E2697" w14:textId="33701E89" w:rsidR="000C4185" w:rsidRPr="007D4673" w:rsidRDefault="003401DF" w:rsidP="00471D59">
      <w:pPr>
        <w:spacing w:line="240" w:lineRule="auto"/>
        <w:rPr>
          <w:sz w:val="20"/>
          <w:szCs w:val="20"/>
        </w:rPr>
      </w:pPr>
      <w:r w:rsidRPr="007D4673">
        <w:rPr>
          <w:sz w:val="20"/>
        </w:rPr>
        <w:t xml:space="preserve">Le parlement communique l’information de façon cohérente et rapide en réponse aux demandes d'accès à l'information qui lui parviennent. Les refus de divulguer l'information, ou la divulgation d'informations incomplètes sont soumis à l'examen d'une instance indépendante externe, dont les décisions sont contraignantes. </w:t>
      </w:r>
    </w:p>
    <w:p w14:paraId="648B720E"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E55C93" w:rsidRPr="007D4673" w14:paraId="19BA6FAB" w14:textId="77777777" w:rsidTr="00E55C9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4A35F06" w14:textId="77777777" w:rsidR="000C4185" w:rsidRPr="007D4673" w:rsidRDefault="00251F6E">
            <w:pPr>
              <w:jc w:val="center"/>
              <w:rPr>
                <w:rFonts w:eastAsia="Calibri"/>
                <w:sz w:val="20"/>
                <w:szCs w:val="20"/>
              </w:rPr>
            </w:pPr>
            <w:r w:rsidRPr="007D4673">
              <w:rPr>
                <w:sz w:val="20"/>
              </w:rPr>
              <w:t>Néant</w:t>
            </w:r>
          </w:p>
          <w:p w14:paraId="1A813E27"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B3A10E4" w14:textId="77777777" w:rsidR="000C4185" w:rsidRPr="007D4673" w:rsidRDefault="00251F6E">
            <w:pPr>
              <w:jc w:val="center"/>
              <w:rPr>
                <w:rFonts w:eastAsia="Calibri"/>
                <w:sz w:val="20"/>
                <w:szCs w:val="20"/>
              </w:rPr>
            </w:pPr>
            <w:r w:rsidRPr="007D4673">
              <w:rPr>
                <w:sz w:val="20"/>
              </w:rPr>
              <w:t xml:space="preserve">Médiocre </w:t>
            </w:r>
          </w:p>
          <w:p w14:paraId="2DA6F9E8"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CE1584" w14:textId="77777777" w:rsidR="000C4185" w:rsidRPr="007D4673" w:rsidRDefault="00251F6E">
            <w:pPr>
              <w:jc w:val="center"/>
              <w:rPr>
                <w:rFonts w:eastAsia="Calibri"/>
                <w:sz w:val="20"/>
                <w:szCs w:val="20"/>
              </w:rPr>
            </w:pPr>
            <w:r w:rsidRPr="007D4673">
              <w:rPr>
                <w:sz w:val="20"/>
              </w:rPr>
              <w:t>Moyen</w:t>
            </w:r>
          </w:p>
          <w:p w14:paraId="721C59CB"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ADAFDD" w14:textId="77777777" w:rsidR="000C4185" w:rsidRPr="007D4673" w:rsidRDefault="00251F6E">
            <w:pPr>
              <w:jc w:val="center"/>
              <w:rPr>
                <w:rFonts w:eastAsia="Calibri"/>
                <w:sz w:val="20"/>
                <w:szCs w:val="20"/>
              </w:rPr>
            </w:pPr>
            <w:r w:rsidRPr="007D4673">
              <w:rPr>
                <w:sz w:val="20"/>
              </w:rPr>
              <w:t>Bon</w:t>
            </w:r>
          </w:p>
          <w:p w14:paraId="56409982"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74E0378" w14:textId="77777777" w:rsidR="000C4185" w:rsidRPr="007D4673" w:rsidRDefault="00251F6E">
            <w:pPr>
              <w:jc w:val="center"/>
              <w:rPr>
                <w:rFonts w:eastAsia="Calibri"/>
                <w:sz w:val="20"/>
                <w:szCs w:val="20"/>
              </w:rPr>
            </w:pPr>
            <w:r w:rsidRPr="007D4673">
              <w:rPr>
                <w:sz w:val="20"/>
              </w:rPr>
              <w:t>Très bon</w:t>
            </w:r>
          </w:p>
          <w:p w14:paraId="56E7D401"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6BD1A29" w14:textId="77777777" w:rsidR="000C4185" w:rsidRPr="007D4673" w:rsidRDefault="00251F6E">
            <w:pPr>
              <w:jc w:val="center"/>
              <w:rPr>
                <w:rFonts w:eastAsia="Calibri"/>
                <w:sz w:val="20"/>
                <w:szCs w:val="20"/>
              </w:rPr>
            </w:pPr>
            <w:r w:rsidRPr="007D4673">
              <w:rPr>
                <w:sz w:val="20"/>
              </w:rPr>
              <w:t>Excellent</w:t>
            </w:r>
          </w:p>
          <w:p w14:paraId="6FA14AAB"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E55C93" w:rsidRPr="007D4673" w14:paraId="7C0F3EFB" w14:textId="77777777" w:rsidTr="00E55C9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ABC2E" w14:textId="77777777" w:rsidR="000C4185" w:rsidRPr="007D4673" w:rsidRDefault="00251F6E">
            <w:pPr>
              <w:rPr>
                <w:rFonts w:eastAsia="Calibri"/>
                <w:color w:val="005F9A"/>
                <w:sz w:val="20"/>
                <w:szCs w:val="20"/>
              </w:rPr>
            </w:pPr>
            <w:r w:rsidRPr="007D4673">
              <w:rPr>
                <w:color w:val="005F9A"/>
                <w:sz w:val="20"/>
              </w:rPr>
              <w:t>Éléments à l'appui de l'évaluation :</w:t>
            </w:r>
          </w:p>
          <w:p w14:paraId="53F1E802" w14:textId="77777777" w:rsidR="000C4185" w:rsidRPr="007D4673" w:rsidRDefault="000C4185">
            <w:pPr>
              <w:rPr>
                <w:rFonts w:eastAsia="Calibri"/>
                <w:color w:val="0000FF"/>
                <w:sz w:val="20"/>
                <w:szCs w:val="20"/>
              </w:rPr>
            </w:pPr>
          </w:p>
          <w:p w14:paraId="025E7085" w14:textId="77777777" w:rsidR="000C4185" w:rsidRPr="007D4673" w:rsidRDefault="000C4185">
            <w:pPr>
              <w:rPr>
                <w:rFonts w:eastAsia="Calibri"/>
                <w:color w:val="0000FF"/>
                <w:sz w:val="20"/>
                <w:szCs w:val="20"/>
              </w:rPr>
            </w:pPr>
          </w:p>
        </w:tc>
      </w:tr>
    </w:tbl>
    <w:p w14:paraId="6FF02AE1" w14:textId="77777777" w:rsidR="000C4185" w:rsidRPr="007D4673" w:rsidRDefault="000C4185" w:rsidP="0049533D">
      <w:bookmarkStart w:id="23" w:name="_w44nbg3jxkil"/>
      <w:bookmarkEnd w:id="23"/>
    </w:p>
    <w:p w14:paraId="6BA9E8B4" w14:textId="77777777" w:rsidR="000C4185" w:rsidRPr="007D4673" w:rsidRDefault="00251F6E" w:rsidP="00800F6F">
      <w:pPr>
        <w:pStyle w:val="section-title"/>
      </w:pPr>
      <w:r w:rsidRPr="007D467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E55C93" w:rsidRPr="007D4673" w14:paraId="785F7530" w14:textId="77777777" w:rsidTr="006400C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051420A" w14:textId="77777777" w:rsidR="000C4185" w:rsidRPr="007D4673" w:rsidRDefault="00251F6E" w:rsidP="006400CE">
            <w:pPr>
              <w:spacing w:line="240" w:lineRule="auto"/>
              <w:rPr>
                <w:rFonts w:eastAsia="Calibri"/>
                <w:sz w:val="20"/>
                <w:szCs w:val="20"/>
              </w:rPr>
            </w:pPr>
            <w:r w:rsidRPr="007D4673">
              <w:rPr>
                <w:i/>
                <w:color w:val="000000"/>
                <w:sz w:val="20"/>
              </w:rPr>
              <w:t>Dans cet encadré, notez les recommandations et les idées visant à renforcer les règles et la pratique dans ce domaine.</w:t>
            </w:r>
          </w:p>
        </w:tc>
      </w:tr>
    </w:tbl>
    <w:p w14:paraId="011FA083" w14:textId="77777777" w:rsidR="000C4185" w:rsidRPr="007D4673" w:rsidRDefault="00251F6E" w:rsidP="00800F6F">
      <w:pPr>
        <w:pStyle w:val="section-title"/>
      </w:pPr>
      <w:r w:rsidRPr="007D4673">
        <w:t>Sources et autre documentation</w:t>
      </w:r>
    </w:p>
    <w:p w14:paraId="355D6E9F" w14:textId="77777777" w:rsidR="000C4185" w:rsidRPr="00251F6E" w:rsidRDefault="00251F6E" w:rsidP="00842F61">
      <w:pPr>
        <w:numPr>
          <w:ilvl w:val="0"/>
          <w:numId w:val="32"/>
        </w:numPr>
        <w:spacing w:line="240" w:lineRule="auto"/>
        <w:ind w:left="562" w:hanging="562"/>
        <w:rPr>
          <w:sz w:val="20"/>
          <w:szCs w:val="20"/>
          <w:lang w:val="en-US"/>
        </w:rPr>
      </w:pPr>
      <w:r w:rsidRPr="00251F6E">
        <w:rPr>
          <w:lang w:val="en-US"/>
        </w:rPr>
        <w:t xml:space="preserve">ARTICLE 19, </w:t>
      </w:r>
      <w:hyperlink r:id="rId25">
        <w:r w:rsidRPr="00251F6E">
          <w:rPr>
            <w:i/>
            <w:color w:val="1155CC"/>
            <w:sz w:val="20"/>
            <w:u w:val="single"/>
            <w:lang w:val="en-US"/>
          </w:rPr>
          <w:t>The Public's Right to Know:</w:t>
        </w:r>
      </w:hyperlink>
      <w:hyperlink r:id="rId26">
        <w:r w:rsidRPr="00251F6E">
          <w:rPr>
            <w:i/>
            <w:color w:val="1155CC"/>
            <w:sz w:val="20"/>
            <w:u w:val="single"/>
            <w:lang w:val="en-US"/>
          </w:rPr>
          <w:t xml:space="preserve"> Principles on Freedom of Information Legislation</w:t>
        </w:r>
      </w:hyperlink>
      <w:r w:rsidRPr="00251F6E">
        <w:rPr>
          <w:sz w:val="20"/>
          <w:lang w:val="en-US"/>
        </w:rPr>
        <w:t xml:space="preserve"> (1999).</w:t>
      </w:r>
    </w:p>
    <w:p w14:paraId="54063E35" w14:textId="5A102D6B" w:rsidR="00A66544" w:rsidRPr="007D4673" w:rsidRDefault="00A66544" w:rsidP="00A66544">
      <w:pPr>
        <w:numPr>
          <w:ilvl w:val="0"/>
          <w:numId w:val="32"/>
        </w:numPr>
        <w:spacing w:line="240" w:lineRule="auto"/>
        <w:ind w:left="562" w:hanging="562"/>
        <w:rPr>
          <w:sz w:val="20"/>
          <w:szCs w:val="20"/>
        </w:rPr>
      </w:pPr>
      <w:r w:rsidRPr="007D4673">
        <w:rPr>
          <w:sz w:val="20"/>
        </w:rPr>
        <w:t>Association parlementaire du Commonwealth (A</w:t>
      </w:r>
      <w:r w:rsidR="00FA5090">
        <w:rPr>
          <w:sz w:val="20"/>
        </w:rPr>
        <w:t>PC</w:t>
      </w:r>
      <w:r w:rsidRPr="007D4673">
        <w:rPr>
          <w:sz w:val="20"/>
        </w:rPr>
        <w:t>),</w:t>
      </w:r>
      <w:hyperlink r:id="rId27">
        <w:r w:rsidRPr="007D4673">
          <w:t xml:space="preserve"> </w:t>
        </w:r>
      </w:hyperlink>
      <w:hyperlink r:id="rId28">
        <w:r w:rsidRPr="007D4673">
          <w:rPr>
            <w:i/>
            <w:color w:val="1155CC"/>
            <w:sz w:val="20"/>
            <w:u w:val="single"/>
          </w:rPr>
          <w:t>Recommended Benchmarks for Democratic Legislators</w:t>
        </w:r>
      </w:hyperlink>
      <w:r w:rsidRPr="007D4673">
        <w:rPr>
          <w:sz w:val="20"/>
        </w:rPr>
        <w:t>, édition révisée (2018)</w:t>
      </w:r>
      <w:r w:rsidRPr="007D4673">
        <w:rPr>
          <w:sz w:val="20"/>
          <w:szCs w:val="20"/>
        </w:rPr>
        <w:t>.</w:t>
      </w:r>
    </w:p>
    <w:p w14:paraId="5C69A9F8" w14:textId="77777777" w:rsidR="000C4185" w:rsidRPr="007D4673" w:rsidRDefault="00251F6E" w:rsidP="0024546E">
      <w:pPr>
        <w:numPr>
          <w:ilvl w:val="0"/>
          <w:numId w:val="32"/>
        </w:numPr>
        <w:spacing w:line="240" w:lineRule="auto"/>
        <w:ind w:left="562" w:hanging="562"/>
        <w:rPr>
          <w:sz w:val="20"/>
          <w:szCs w:val="20"/>
        </w:rPr>
      </w:pPr>
      <w:r w:rsidRPr="007D4673">
        <w:rPr>
          <w:sz w:val="20"/>
        </w:rPr>
        <w:t>Beetham David,</w:t>
      </w:r>
      <w:hyperlink r:id="rId29">
        <w:r w:rsidRPr="007D4673">
          <w:t xml:space="preserve"> </w:t>
        </w:r>
      </w:hyperlink>
      <w:hyperlink r:id="rId30">
        <w:r w:rsidRPr="007D4673">
          <w:rPr>
            <w:i/>
            <w:color w:val="0563C1"/>
            <w:sz w:val="20"/>
            <w:u w:val="single"/>
          </w:rPr>
          <w:t>Parlement et démocratie au XXI</w:t>
        </w:r>
        <w:r w:rsidRPr="007D4673">
          <w:rPr>
            <w:i/>
            <w:color w:val="0563C1"/>
            <w:sz w:val="20"/>
            <w:u w:val="single"/>
            <w:vertAlign w:val="superscript"/>
          </w:rPr>
          <w:t>e</w:t>
        </w:r>
        <w:r w:rsidRPr="007D4673">
          <w:rPr>
            <w:i/>
            <w:color w:val="0563C1"/>
            <w:sz w:val="20"/>
            <w:u w:val="single"/>
          </w:rPr>
          <w:t xml:space="preserve"> siècle :</w:t>
        </w:r>
      </w:hyperlink>
      <w:hyperlink r:id="rId31">
        <w:r w:rsidRPr="007D4673">
          <w:rPr>
            <w:i/>
            <w:color w:val="0563C1"/>
            <w:sz w:val="20"/>
            <w:u w:val="single"/>
          </w:rPr>
          <w:t xml:space="preserve"> guide des bonnes pratiques</w:t>
        </w:r>
      </w:hyperlink>
      <w:r w:rsidRPr="007D4673">
        <w:rPr>
          <w:sz w:val="20"/>
        </w:rPr>
        <w:t xml:space="preserve"> (2006).</w:t>
      </w:r>
    </w:p>
    <w:p w14:paraId="138F17AF" w14:textId="51F3D858" w:rsidR="000C4185" w:rsidRPr="00251F6E" w:rsidRDefault="00251F6E" w:rsidP="0024546E">
      <w:pPr>
        <w:numPr>
          <w:ilvl w:val="0"/>
          <w:numId w:val="32"/>
        </w:numPr>
        <w:spacing w:line="240" w:lineRule="auto"/>
        <w:ind w:left="562" w:hanging="562"/>
        <w:rPr>
          <w:sz w:val="20"/>
          <w:szCs w:val="20"/>
          <w:lang w:val="en-US"/>
        </w:rPr>
      </w:pPr>
      <w:r w:rsidRPr="00251F6E">
        <w:rPr>
          <w:sz w:val="20"/>
          <w:lang w:val="en-US"/>
        </w:rPr>
        <w:t xml:space="preserve">Institut national </w:t>
      </w:r>
      <w:proofErr w:type="spellStart"/>
      <w:r w:rsidRPr="00251F6E">
        <w:rPr>
          <w:sz w:val="20"/>
          <w:lang w:val="en-US"/>
        </w:rPr>
        <w:t>démocratique</w:t>
      </w:r>
      <w:proofErr w:type="spellEnd"/>
      <w:r w:rsidRPr="00251F6E">
        <w:rPr>
          <w:sz w:val="20"/>
          <w:lang w:val="en-US"/>
        </w:rPr>
        <w:t xml:space="preserve"> (NDI), </w:t>
      </w:r>
      <w:hyperlink r:id="rId32">
        <w:r w:rsidRPr="00251F6E">
          <w:rPr>
            <w:i/>
            <w:color w:val="1155CC"/>
            <w:sz w:val="20"/>
            <w:u w:val="single"/>
            <w:lang w:val="en-US"/>
          </w:rPr>
          <w:t>Towards the Development of International Standards for Democratic Legislatures</w:t>
        </w:r>
      </w:hyperlink>
      <w:r w:rsidRPr="00251F6E">
        <w:rPr>
          <w:sz w:val="20"/>
          <w:lang w:val="en-US"/>
        </w:rPr>
        <w:t xml:space="preserve"> (2007)</w:t>
      </w:r>
      <w:r w:rsidR="00A66544" w:rsidRPr="00251F6E">
        <w:rPr>
          <w:sz w:val="20"/>
          <w:lang w:val="en-US"/>
        </w:rPr>
        <w:t>.</w:t>
      </w:r>
    </w:p>
    <w:p w14:paraId="738C4CFE" w14:textId="77777777" w:rsidR="000C4185" w:rsidRPr="00251F6E" w:rsidRDefault="000C4185" w:rsidP="0049533D">
      <w:pPr>
        <w:spacing w:line="240" w:lineRule="auto"/>
        <w:rPr>
          <w:sz w:val="20"/>
          <w:szCs w:val="20"/>
          <w:lang w:val="en-US"/>
        </w:rPr>
      </w:pPr>
    </w:p>
    <w:p w14:paraId="6872A3DB" w14:textId="77777777" w:rsidR="000C4185" w:rsidRPr="007D4673" w:rsidRDefault="00251F6E" w:rsidP="00800F6F">
      <w:pPr>
        <w:pStyle w:val="Dimension"/>
        <w:rPr>
          <w:szCs w:val="24"/>
        </w:rPr>
      </w:pPr>
      <w:bookmarkStart w:id="24" w:name="_3j2qqm3"/>
      <w:bookmarkStart w:id="25" w:name="_o247iqdtp8u4"/>
      <w:bookmarkStart w:id="26" w:name="_tou2pf36eqvy"/>
      <w:bookmarkStart w:id="27" w:name="_4qcbefl9pivc"/>
      <w:bookmarkStart w:id="28" w:name="_33oq88njjt50"/>
      <w:bookmarkStart w:id="29" w:name="_dpba9i3bte4w"/>
      <w:bookmarkStart w:id="30" w:name="_ixnhyqqnj8r2"/>
      <w:bookmarkEnd w:id="24"/>
      <w:bookmarkEnd w:id="25"/>
      <w:bookmarkEnd w:id="26"/>
      <w:bookmarkEnd w:id="27"/>
      <w:bookmarkEnd w:id="28"/>
      <w:bookmarkEnd w:id="29"/>
      <w:bookmarkEnd w:id="30"/>
      <w:r w:rsidRPr="007D4673">
        <w:t>Aspect 2.2.4 : Professionnalisme de l'administration parlementaire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471D59" w:rsidRPr="007D4673" w14:paraId="4B5774DD" w14:textId="77777777" w:rsidTr="006400CE">
        <w:tc>
          <w:tcPr>
            <w:tcW w:w="9350" w:type="dxa"/>
            <w:shd w:val="clear" w:color="auto" w:fill="EEEEEE"/>
          </w:tcPr>
          <w:p w14:paraId="110504DE" w14:textId="77777777" w:rsidR="000C4185" w:rsidRPr="007D4673" w:rsidRDefault="00251F6E" w:rsidP="006400CE">
            <w:pPr>
              <w:spacing w:line="240" w:lineRule="auto"/>
              <w:rPr>
                <w:sz w:val="20"/>
                <w:szCs w:val="20"/>
              </w:rPr>
            </w:pPr>
            <w:r w:rsidRPr="007D4673">
              <w:rPr>
                <w:sz w:val="20"/>
              </w:rPr>
              <w:t>Cet aspect s'applique aux éléments suivants :</w:t>
            </w:r>
          </w:p>
          <w:p w14:paraId="0898793E" w14:textId="77777777" w:rsidR="000C4185" w:rsidRPr="007D4673" w:rsidRDefault="00251F6E" w:rsidP="006400CE">
            <w:pPr>
              <w:pStyle w:val="Paragraphedeliste"/>
              <w:numPr>
                <w:ilvl w:val="0"/>
                <w:numId w:val="8"/>
              </w:numPr>
              <w:spacing w:line="240" w:lineRule="auto"/>
              <w:rPr>
                <w:rFonts w:eastAsia="Calibri" w:cs="Calibri"/>
                <w:sz w:val="20"/>
                <w:szCs w:val="20"/>
              </w:rPr>
            </w:pPr>
            <w:r w:rsidRPr="007D4673">
              <w:rPr>
                <w:sz w:val="20"/>
              </w:rPr>
              <w:t>Indicateur 2.2 : Intégrité institutionnelle</w:t>
            </w:r>
          </w:p>
          <w:p w14:paraId="5C6FE2AA" w14:textId="77777777" w:rsidR="000C4185" w:rsidRPr="007D4673" w:rsidRDefault="00251F6E" w:rsidP="006400CE">
            <w:pPr>
              <w:pStyle w:val="Paragraphedeliste"/>
              <w:numPr>
                <w:ilvl w:val="0"/>
                <w:numId w:val="8"/>
              </w:numPr>
              <w:spacing w:line="240" w:lineRule="auto"/>
              <w:rPr>
                <w:rFonts w:eastAsia="Calibri" w:cs="Calibri"/>
                <w:sz w:val="24"/>
                <w:szCs w:val="20"/>
              </w:rPr>
            </w:pPr>
            <w:r w:rsidRPr="007D4673">
              <w:rPr>
                <w:sz w:val="20"/>
              </w:rPr>
              <w:t>Cible 2 : Des parlements responsables</w:t>
            </w:r>
          </w:p>
        </w:tc>
      </w:tr>
    </w:tbl>
    <w:p w14:paraId="752B2BB5" w14:textId="77777777" w:rsidR="000C4185" w:rsidRPr="007D4673" w:rsidRDefault="00251F6E" w:rsidP="00800F6F">
      <w:pPr>
        <w:pStyle w:val="section-title"/>
      </w:pPr>
      <w:r w:rsidRPr="007D4673">
        <w:t>À propos de l'aspect</w:t>
      </w:r>
    </w:p>
    <w:p w14:paraId="1438AE66" w14:textId="77777777" w:rsidR="000C4185" w:rsidRPr="007D4673" w:rsidRDefault="00251F6E" w:rsidP="00C8330F">
      <w:pPr>
        <w:spacing w:line="240" w:lineRule="auto"/>
        <w:rPr>
          <w:sz w:val="20"/>
          <w:szCs w:val="20"/>
        </w:rPr>
      </w:pPr>
      <w:r w:rsidRPr="007D4673">
        <w:rPr>
          <w:sz w:val="20"/>
        </w:rPr>
        <w:t>Cet aspect concerne diverses facettes du professionnalisme de l'administration parlementaire, notamment les normes de conduite professionnelles et éthiques, les procédures de dépôt de plaintes et la gestion de carrière du personnel parlementaire.</w:t>
      </w:r>
    </w:p>
    <w:p w14:paraId="5D874B68" w14:textId="77777777" w:rsidR="000C4185" w:rsidRPr="007D4673" w:rsidRDefault="000C4185" w:rsidP="00471D59">
      <w:pPr>
        <w:spacing w:line="240" w:lineRule="auto"/>
        <w:rPr>
          <w:sz w:val="20"/>
          <w:szCs w:val="20"/>
        </w:rPr>
      </w:pPr>
    </w:p>
    <w:p w14:paraId="2A64B225" w14:textId="2E7F2EBA" w:rsidR="000C4185" w:rsidRPr="007D4673" w:rsidRDefault="00251F6E" w:rsidP="00C31A8A">
      <w:pPr>
        <w:spacing w:line="240" w:lineRule="auto"/>
        <w:rPr>
          <w:sz w:val="20"/>
        </w:rPr>
      </w:pPr>
      <w:r w:rsidRPr="007D4673">
        <w:rPr>
          <w:sz w:val="20"/>
        </w:rPr>
        <w:t>En général, soit les parlements suivent le(s) code(s) d'éthique et les normes de conduite s'appliquant à la fonction publique en général, soit ils élaborent un ou des codes s'appliquant spécifiquement à leur personnel. Qu</w:t>
      </w:r>
      <w:r w:rsidR="00295CBA">
        <w:rPr>
          <w:sz w:val="20"/>
        </w:rPr>
        <w:t>oi qu’il en soit</w:t>
      </w:r>
      <w:r w:rsidRPr="007D4673">
        <w:rPr>
          <w:sz w:val="20"/>
        </w:rPr>
        <w:t xml:space="preserve">, ce(s) code(s) devrai(en)t établir des attentes claires en matière de professionnalisme et de conduite éthique, de respect pour le parlement, son personnel et le peuple au service duquel ils se trouvent, ainsi que d'intégrité, de redevabilité et d'impartialité. </w:t>
      </w:r>
    </w:p>
    <w:p w14:paraId="7412F55A" w14:textId="77777777" w:rsidR="000C4185" w:rsidRPr="007D4673" w:rsidRDefault="000C4185" w:rsidP="00C31A8A">
      <w:pPr>
        <w:spacing w:line="240" w:lineRule="auto"/>
        <w:rPr>
          <w:sz w:val="20"/>
        </w:rPr>
      </w:pPr>
    </w:p>
    <w:p w14:paraId="165B7B94" w14:textId="77777777" w:rsidR="000C4185" w:rsidRPr="007D4673" w:rsidRDefault="00251F6E" w:rsidP="00C31A8A">
      <w:pPr>
        <w:spacing w:line="240" w:lineRule="auto"/>
        <w:rPr>
          <w:sz w:val="20"/>
        </w:rPr>
      </w:pPr>
      <w:r w:rsidRPr="007D4673">
        <w:rPr>
          <w:sz w:val="20"/>
        </w:rPr>
        <w:t>Ce(s) code(s) peu(ven)t couvrir un certain nombre de questions, notamment celles qui sont énumérées ci-dessous :</w:t>
      </w:r>
    </w:p>
    <w:p w14:paraId="4EA0963C" w14:textId="77777777" w:rsidR="000C4185" w:rsidRPr="007D4673" w:rsidRDefault="000C4185" w:rsidP="00C31A8A">
      <w:pPr>
        <w:spacing w:line="240" w:lineRule="auto"/>
        <w:rPr>
          <w:sz w:val="20"/>
        </w:rPr>
      </w:pPr>
    </w:p>
    <w:p w14:paraId="01B061DA" w14:textId="77777777" w:rsidR="000C4185" w:rsidRPr="007D4673" w:rsidRDefault="00251F6E" w:rsidP="00C31A8A">
      <w:pPr>
        <w:pStyle w:val="Paragraphedeliste"/>
        <w:numPr>
          <w:ilvl w:val="0"/>
          <w:numId w:val="38"/>
        </w:numPr>
        <w:spacing w:line="240" w:lineRule="auto"/>
        <w:rPr>
          <w:sz w:val="20"/>
          <w:szCs w:val="20"/>
        </w:rPr>
      </w:pPr>
      <w:r w:rsidRPr="007D4673">
        <w:rPr>
          <w:sz w:val="20"/>
        </w:rPr>
        <w:t>apporter un soutien neutre et apartisan au parlement et aux parlementaires</w:t>
      </w:r>
    </w:p>
    <w:p w14:paraId="66A6AACE" w14:textId="77777777" w:rsidR="000C4185" w:rsidRPr="007D4673" w:rsidRDefault="00251F6E" w:rsidP="00C31A8A">
      <w:pPr>
        <w:pStyle w:val="Paragraphedeliste"/>
        <w:numPr>
          <w:ilvl w:val="0"/>
          <w:numId w:val="38"/>
        </w:numPr>
        <w:spacing w:line="240" w:lineRule="auto"/>
        <w:rPr>
          <w:sz w:val="20"/>
          <w:szCs w:val="20"/>
        </w:rPr>
      </w:pPr>
      <w:r w:rsidRPr="007D4673">
        <w:rPr>
          <w:sz w:val="20"/>
        </w:rPr>
        <w:t>adopter un comportement honnête, respectueux de la loi et intègre</w:t>
      </w:r>
    </w:p>
    <w:p w14:paraId="22F38D09" w14:textId="77777777" w:rsidR="000C4185" w:rsidRPr="007D4673" w:rsidRDefault="00251F6E" w:rsidP="00C31A8A">
      <w:pPr>
        <w:pStyle w:val="Paragraphedeliste"/>
        <w:numPr>
          <w:ilvl w:val="0"/>
          <w:numId w:val="38"/>
        </w:numPr>
        <w:spacing w:line="240" w:lineRule="auto"/>
        <w:rPr>
          <w:sz w:val="20"/>
          <w:szCs w:val="20"/>
        </w:rPr>
      </w:pPr>
      <w:r w:rsidRPr="007D4673">
        <w:rPr>
          <w:sz w:val="20"/>
        </w:rPr>
        <w:t>traiter tout un chacun avec respect et courtoisie et s'abstenir de tout harcèlement (tout particulièrement à l'égard des femmes et des groupes minoritaires)</w:t>
      </w:r>
    </w:p>
    <w:p w14:paraId="747667D6" w14:textId="33730F90" w:rsidR="000C4185" w:rsidRPr="007D4673" w:rsidRDefault="00295CBA" w:rsidP="00C31A8A">
      <w:pPr>
        <w:pStyle w:val="Paragraphedeliste"/>
        <w:numPr>
          <w:ilvl w:val="0"/>
          <w:numId w:val="38"/>
        </w:numPr>
        <w:spacing w:line="240" w:lineRule="auto"/>
        <w:rPr>
          <w:sz w:val="20"/>
          <w:szCs w:val="20"/>
        </w:rPr>
      </w:pPr>
      <w:r>
        <w:rPr>
          <w:sz w:val="20"/>
        </w:rPr>
        <w:t>bannir</w:t>
      </w:r>
      <w:r w:rsidRPr="007D4673">
        <w:rPr>
          <w:sz w:val="20"/>
        </w:rPr>
        <w:t xml:space="preserve"> les conflits d'intérêts ou le détournement d'une fonction pour en tirer un avantage personnel</w:t>
      </w:r>
    </w:p>
    <w:p w14:paraId="7D7A6736" w14:textId="77777777" w:rsidR="000C4185" w:rsidRPr="007D4673" w:rsidRDefault="00251F6E" w:rsidP="00C31A8A">
      <w:pPr>
        <w:pStyle w:val="Paragraphedeliste"/>
        <w:numPr>
          <w:ilvl w:val="0"/>
          <w:numId w:val="38"/>
        </w:numPr>
        <w:spacing w:line="240" w:lineRule="auto"/>
        <w:rPr>
          <w:sz w:val="20"/>
          <w:szCs w:val="20"/>
        </w:rPr>
      </w:pPr>
      <w:r w:rsidRPr="007D4673">
        <w:rPr>
          <w:sz w:val="20"/>
        </w:rPr>
        <w:t>défendre la bonne réputation du parlement et de la nation dans son ensemble.</w:t>
      </w:r>
    </w:p>
    <w:p w14:paraId="5BD6872A" w14:textId="77777777" w:rsidR="000C4185" w:rsidRPr="007D4673" w:rsidRDefault="000C4185" w:rsidP="0049533D">
      <w:pPr>
        <w:spacing w:line="240" w:lineRule="auto"/>
        <w:rPr>
          <w:sz w:val="20"/>
          <w:szCs w:val="20"/>
        </w:rPr>
      </w:pPr>
    </w:p>
    <w:p w14:paraId="500C3C89" w14:textId="17D2FE0B" w:rsidR="000C4185" w:rsidRPr="007D4673" w:rsidRDefault="00251F6E" w:rsidP="00C31A8A">
      <w:pPr>
        <w:spacing w:line="240" w:lineRule="auto"/>
        <w:rPr>
          <w:sz w:val="20"/>
          <w:szCs w:val="20"/>
        </w:rPr>
      </w:pPr>
      <w:r w:rsidRPr="007D4673">
        <w:rPr>
          <w:sz w:val="20"/>
        </w:rPr>
        <w:t>Il devrait exister une procédure fiable et clairement définie pour le dépôt de plaintes et la réalisation d'enquêtes indépendantes concernant les violations présumées du (des) code(s), et des sanctions d</w:t>
      </w:r>
      <w:r w:rsidR="00D93567" w:rsidRPr="007D4673">
        <w:rPr>
          <w:sz w:val="20"/>
        </w:rPr>
        <w:t>evrai</w:t>
      </w:r>
      <w:r w:rsidRPr="007D4673">
        <w:rPr>
          <w:sz w:val="20"/>
        </w:rPr>
        <w:t xml:space="preserve">ent être appliquées lorsque la plainte est </w:t>
      </w:r>
      <w:r w:rsidR="00D93567" w:rsidRPr="007D4673">
        <w:rPr>
          <w:sz w:val="20"/>
        </w:rPr>
        <w:t>considérée comme fondée</w:t>
      </w:r>
      <w:r w:rsidRPr="007D4673">
        <w:rPr>
          <w:sz w:val="20"/>
        </w:rPr>
        <w:t>.</w:t>
      </w:r>
    </w:p>
    <w:p w14:paraId="007B2B4A" w14:textId="77777777" w:rsidR="000C4185" w:rsidRPr="007D4673" w:rsidRDefault="000C4185" w:rsidP="00471D59">
      <w:pPr>
        <w:spacing w:line="240" w:lineRule="auto"/>
        <w:rPr>
          <w:sz w:val="20"/>
          <w:szCs w:val="20"/>
        </w:rPr>
      </w:pPr>
    </w:p>
    <w:p w14:paraId="10386F5B" w14:textId="4E52149E" w:rsidR="000C4185" w:rsidRPr="007D4673" w:rsidRDefault="00251F6E" w:rsidP="00471D59">
      <w:pPr>
        <w:spacing w:line="240" w:lineRule="auto"/>
        <w:rPr>
          <w:sz w:val="20"/>
        </w:rPr>
      </w:pPr>
      <w:r w:rsidRPr="007D4673">
        <w:rPr>
          <w:sz w:val="20"/>
        </w:rPr>
        <w:t xml:space="preserve">L'administration parlementaire assume une responsabilité importante en matière de formation et de développement professionnel du personnel parlementaire, ainsi que d'élaboration d'une éthique du service parlementaire. Par l'intermédiaire de sa politique et de sa pratique </w:t>
      </w:r>
      <w:r w:rsidR="00D93567" w:rsidRPr="007D4673">
        <w:rPr>
          <w:sz w:val="20"/>
        </w:rPr>
        <w:t xml:space="preserve">de gestion </w:t>
      </w:r>
      <w:r w:rsidRPr="007D4673">
        <w:rPr>
          <w:sz w:val="20"/>
        </w:rPr>
        <w:t>de</w:t>
      </w:r>
      <w:r w:rsidR="00D93567" w:rsidRPr="007D4673">
        <w:rPr>
          <w:sz w:val="20"/>
        </w:rPr>
        <w:t>s</w:t>
      </w:r>
      <w:r w:rsidRPr="007D4673">
        <w:rPr>
          <w:sz w:val="20"/>
        </w:rPr>
        <w:t xml:space="preserve"> ressources humaines, l'administration parlementaire devrait veiller à ce que son personnel dispose des connaissances et des compétences requises pour assurer la continuité institutionnelle du parlement. </w:t>
      </w:r>
    </w:p>
    <w:p w14:paraId="6014B5BF" w14:textId="77777777" w:rsidR="000C4185" w:rsidRPr="007D4673" w:rsidRDefault="000C4185" w:rsidP="00471D59">
      <w:pPr>
        <w:spacing w:line="240" w:lineRule="auto"/>
        <w:rPr>
          <w:sz w:val="20"/>
        </w:rPr>
      </w:pPr>
    </w:p>
    <w:p w14:paraId="69FD76CD" w14:textId="3DEDD235" w:rsidR="000C4185" w:rsidRPr="004D0A93" w:rsidRDefault="00251F6E" w:rsidP="00471D59">
      <w:pPr>
        <w:spacing w:line="240" w:lineRule="auto"/>
        <w:rPr>
          <w:i/>
          <w:iCs/>
          <w:sz w:val="20"/>
          <w:szCs w:val="20"/>
        </w:rPr>
      </w:pPr>
      <w:r w:rsidRPr="007D4673">
        <w:rPr>
          <w:sz w:val="20"/>
        </w:rPr>
        <w:t>Voir également l'</w:t>
      </w:r>
      <w:r w:rsidRPr="007D4673">
        <w:rPr>
          <w:i/>
          <w:sz w:val="20"/>
        </w:rPr>
        <w:t>aspect</w:t>
      </w:r>
      <w:r w:rsidRPr="007D4673">
        <w:rPr>
          <w:sz w:val="20"/>
        </w:rPr>
        <w:t xml:space="preserve"> </w:t>
      </w:r>
      <w:r w:rsidRPr="007D4673">
        <w:rPr>
          <w:i/>
          <w:sz w:val="20"/>
        </w:rPr>
        <w:t>2.1</w:t>
      </w:r>
      <w:r w:rsidRPr="004D0A93">
        <w:rPr>
          <w:i/>
          <w:sz w:val="20"/>
        </w:rPr>
        <w:t>.4 : Revenus des parlementaires et utilisation des ressources du parlement</w:t>
      </w:r>
      <w:r w:rsidRPr="004D0A93">
        <w:rPr>
          <w:sz w:val="20"/>
        </w:rPr>
        <w:t xml:space="preserve"> et </w:t>
      </w:r>
      <w:r w:rsidRPr="004D0A93">
        <w:rPr>
          <w:i/>
          <w:sz w:val="20"/>
        </w:rPr>
        <w:t>l'aspect 5.2.3 : Lutte contre le sexisme, le harcèlement et la violence.</w:t>
      </w:r>
    </w:p>
    <w:p w14:paraId="3BC3927B" w14:textId="77777777" w:rsidR="000C4185" w:rsidRPr="007D4673" w:rsidRDefault="00251F6E" w:rsidP="00800F6F">
      <w:pPr>
        <w:pStyle w:val="section-title"/>
      </w:pPr>
      <w:r w:rsidRPr="004D0A93">
        <w:t>Objectifs</w:t>
      </w:r>
    </w:p>
    <w:tbl>
      <w:tblPr>
        <w:tblW w:w="5000" w:type="pct"/>
        <w:shd w:val="clear" w:color="auto" w:fill="EEEEEE"/>
        <w:tblLook w:val="0400" w:firstRow="0" w:lastRow="0" w:firstColumn="0" w:lastColumn="0" w:noHBand="0" w:noVBand="1"/>
      </w:tblPr>
      <w:tblGrid>
        <w:gridCol w:w="9120"/>
      </w:tblGrid>
      <w:tr w:rsidR="00471D59" w:rsidRPr="007D4673" w14:paraId="165ED674" w14:textId="77777777" w:rsidTr="008C6847">
        <w:trPr>
          <w:trHeight w:val="713"/>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58D743C3" w14:textId="77777777" w:rsidR="000C4185" w:rsidRPr="007D4673" w:rsidRDefault="00251F6E" w:rsidP="00471D59">
            <w:pPr>
              <w:spacing w:after="160" w:line="240" w:lineRule="auto"/>
              <w:rPr>
                <w:i/>
                <w:iCs/>
                <w:sz w:val="20"/>
                <w:szCs w:val="20"/>
              </w:rPr>
            </w:pPr>
            <w:r w:rsidRPr="007D4673">
              <w:rPr>
                <w:i/>
                <w:sz w:val="20"/>
              </w:rPr>
              <w:t>Après une analyse comparative, les parlements pourraient par exemple viser les objectifs suivants en ce qui concerne le professionnalisme de l</w:t>
            </w:r>
            <w:r w:rsidRPr="007D4673">
              <w:rPr>
                <w:i/>
                <w:sz w:val="20"/>
                <w:cs/>
              </w:rPr>
              <w:t>’</w:t>
            </w:r>
            <w:r w:rsidRPr="007D4673">
              <w:rPr>
                <w:i/>
                <w:sz w:val="20"/>
              </w:rPr>
              <w:t>administration parlementaire :</w:t>
            </w:r>
          </w:p>
          <w:p w14:paraId="554F69D4" w14:textId="77777777" w:rsidR="000C4185" w:rsidRPr="007D4673" w:rsidRDefault="00251F6E" w:rsidP="00471D59">
            <w:pPr>
              <w:spacing w:line="240" w:lineRule="auto"/>
              <w:rPr>
                <w:sz w:val="20"/>
              </w:rPr>
            </w:pPr>
            <w:r w:rsidRPr="007D4673">
              <w:rPr>
                <w:sz w:val="20"/>
              </w:rPr>
              <w:t>Le cadre juridique exige l'élaboration d'un (de) code(s) d'éthique et de normes de conduite à l'intention du personnel parlementaire.</w:t>
            </w:r>
          </w:p>
          <w:p w14:paraId="629BC99F" w14:textId="77777777" w:rsidR="000C4185" w:rsidRPr="007D4673" w:rsidRDefault="000C4185" w:rsidP="00471D59">
            <w:pPr>
              <w:spacing w:line="240" w:lineRule="auto"/>
              <w:rPr>
                <w:sz w:val="20"/>
              </w:rPr>
            </w:pPr>
          </w:p>
          <w:p w14:paraId="0D92D047" w14:textId="4E628ECC" w:rsidR="000C4185" w:rsidRPr="007D4673" w:rsidRDefault="00251F6E" w:rsidP="00471D59">
            <w:pPr>
              <w:spacing w:line="240" w:lineRule="auto"/>
              <w:rPr>
                <w:sz w:val="20"/>
                <w:szCs w:val="20"/>
              </w:rPr>
            </w:pPr>
            <w:r w:rsidRPr="007D4673">
              <w:rPr>
                <w:sz w:val="20"/>
              </w:rPr>
              <w:t xml:space="preserve">Ce(s) code(s) </w:t>
            </w:r>
            <w:r w:rsidR="00D93567" w:rsidRPr="007D4673">
              <w:rPr>
                <w:sz w:val="20"/>
              </w:rPr>
              <w:t>existe</w:t>
            </w:r>
            <w:r w:rsidR="00C80C84">
              <w:rPr>
                <w:sz w:val="20"/>
              </w:rPr>
              <w:t>(</w:t>
            </w:r>
            <w:r w:rsidR="00295CBA">
              <w:rPr>
                <w:sz w:val="20"/>
              </w:rPr>
              <w:t>nt</w:t>
            </w:r>
            <w:r w:rsidR="00C80C84">
              <w:rPr>
                <w:sz w:val="20"/>
              </w:rPr>
              <w:t>)</w:t>
            </w:r>
            <w:r w:rsidR="00D93567" w:rsidRPr="007D4673">
              <w:rPr>
                <w:sz w:val="20"/>
              </w:rPr>
              <w:t xml:space="preserve"> concrètement, </w:t>
            </w:r>
            <w:r w:rsidRPr="007D4673">
              <w:rPr>
                <w:sz w:val="20"/>
              </w:rPr>
              <w:t>s'applique</w:t>
            </w:r>
            <w:r w:rsidR="00C80C84">
              <w:rPr>
                <w:sz w:val="20"/>
              </w:rPr>
              <w:t>(</w:t>
            </w:r>
            <w:r w:rsidR="00295CBA">
              <w:rPr>
                <w:sz w:val="20"/>
              </w:rPr>
              <w:t>nt</w:t>
            </w:r>
            <w:r w:rsidR="00C80C84">
              <w:rPr>
                <w:sz w:val="20"/>
              </w:rPr>
              <w:t>)</w:t>
            </w:r>
            <w:r w:rsidRPr="007D4673">
              <w:rPr>
                <w:sz w:val="20"/>
              </w:rPr>
              <w:t xml:space="preserve"> à l'ensemble du personnel parlementaire et établi</w:t>
            </w:r>
            <w:r w:rsidR="00C80C84">
              <w:rPr>
                <w:sz w:val="20"/>
              </w:rPr>
              <w:t>(</w:t>
            </w:r>
            <w:r w:rsidR="00295CBA">
              <w:rPr>
                <w:sz w:val="20"/>
              </w:rPr>
              <w:t>ssen</w:t>
            </w:r>
            <w:r w:rsidR="00C80C84">
              <w:rPr>
                <w:sz w:val="20"/>
              </w:rPr>
              <w:t>)</w:t>
            </w:r>
            <w:r w:rsidR="00295CBA">
              <w:rPr>
                <w:sz w:val="20"/>
              </w:rPr>
              <w:t>t</w:t>
            </w:r>
            <w:r w:rsidRPr="007D4673">
              <w:rPr>
                <w:sz w:val="20"/>
              </w:rPr>
              <w:t xml:space="preserve"> des attentes claires en matière de professionnalisme et de conduite éthique, de respect pour le parlement, son personnel et le peuple au service duquel ils se trouvent, ainsi que d'intégrité, de redevabilité et d'impartialité. </w:t>
            </w:r>
          </w:p>
          <w:p w14:paraId="544CDC67" w14:textId="77777777" w:rsidR="000C4185" w:rsidRPr="007D4673" w:rsidRDefault="000C4185" w:rsidP="00471D59">
            <w:pPr>
              <w:spacing w:line="240" w:lineRule="auto"/>
              <w:rPr>
                <w:sz w:val="20"/>
                <w:szCs w:val="20"/>
              </w:rPr>
            </w:pPr>
          </w:p>
          <w:p w14:paraId="23B0467E" w14:textId="4E5FC099" w:rsidR="000C4185" w:rsidRPr="007D4673" w:rsidRDefault="00251F6E" w:rsidP="00471D59">
            <w:pPr>
              <w:spacing w:line="240" w:lineRule="auto"/>
              <w:rPr>
                <w:sz w:val="20"/>
                <w:szCs w:val="20"/>
              </w:rPr>
            </w:pPr>
            <w:r w:rsidRPr="007D4673">
              <w:rPr>
                <w:sz w:val="20"/>
              </w:rPr>
              <w:t xml:space="preserve">Il existe une procédure fiable et clairement définie pour le dépôt de plaintes et la réalisation d'enquêtes indépendantes concernant les violations présumées de ce(s) code(s), et des sanctions sont appliquées lorsque la plainte est </w:t>
            </w:r>
            <w:r w:rsidR="00D93567" w:rsidRPr="007D4673">
              <w:rPr>
                <w:sz w:val="20"/>
              </w:rPr>
              <w:t>considérée comme fondée</w:t>
            </w:r>
            <w:r w:rsidRPr="007D4673">
              <w:rPr>
                <w:sz w:val="20"/>
              </w:rPr>
              <w:t>.</w:t>
            </w:r>
          </w:p>
          <w:p w14:paraId="3C8D18E7" w14:textId="77777777" w:rsidR="000C4185" w:rsidRPr="007D4673" w:rsidRDefault="000C4185" w:rsidP="00471D59">
            <w:pPr>
              <w:spacing w:line="240" w:lineRule="auto"/>
              <w:rPr>
                <w:sz w:val="20"/>
                <w:szCs w:val="20"/>
              </w:rPr>
            </w:pPr>
          </w:p>
          <w:p w14:paraId="0C013A8D" w14:textId="77777777" w:rsidR="000C4185" w:rsidRPr="007D4673" w:rsidRDefault="00251F6E" w:rsidP="00471D59">
            <w:pPr>
              <w:spacing w:line="240" w:lineRule="auto"/>
              <w:rPr>
                <w:sz w:val="20"/>
                <w:szCs w:val="20"/>
              </w:rPr>
            </w:pPr>
            <w:r w:rsidRPr="007D4673">
              <w:rPr>
                <w:sz w:val="20"/>
              </w:rPr>
              <w:t>L'administration parlementaire a instauré un cadre de développement professionnel promouvant une éthique du service parlementaire et garantissant que le personnel dispose des compétences et des connaissances requises pour assurer la continuité institutionnelle du parlement.</w:t>
            </w:r>
          </w:p>
          <w:p w14:paraId="262FE487" w14:textId="77777777" w:rsidR="000C4185" w:rsidRPr="007D4673" w:rsidRDefault="000C4185" w:rsidP="00471D59">
            <w:pPr>
              <w:spacing w:line="240" w:lineRule="auto"/>
              <w:rPr>
                <w:sz w:val="20"/>
                <w:szCs w:val="20"/>
              </w:rPr>
            </w:pPr>
          </w:p>
        </w:tc>
      </w:tr>
    </w:tbl>
    <w:p w14:paraId="4F55D796" w14:textId="77777777" w:rsidR="000C4185" w:rsidRPr="007D4673" w:rsidRDefault="00251F6E" w:rsidP="00800F6F">
      <w:pPr>
        <w:pStyle w:val="section-title"/>
      </w:pPr>
      <w:r w:rsidRPr="007D4673">
        <w:t>Évaluation</w:t>
      </w:r>
    </w:p>
    <w:p w14:paraId="2B3C7F38" w14:textId="77777777" w:rsidR="000C4185" w:rsidRPr="007D4673" w:rsidRDefault="00251F6E" w:rsidP="00471D59">
      <w:pPr>
        <w:spacing w:before="200" w:line="240" w:lineRule="auto"/>
        <w:rPr>
          <w:sz w:val="20"/>
          <w:szCs w:val="20"/>
        </w:rPr>
      </w:pPr>
      <w:r w:rsidRPr="007D4673">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AE94622" w14:textId="77777777" w:rsidR="000C4185" w:rsidRPr="007D4673" w:rsidRDefault="00251F6E" w:rsidP="00471D59">
      <w:pPr>
        <w:spacing w:before="200" w:line="240" w:lineRule="auto"/>
        <w:rPr>
          <w:sz w:val="20"/>
          <w:szCs w:val="20"/>
        </w:rPr>
      </w:pPr>
      <w:r w:rsidRPr="007D4673">
        <w:rPr>
          <w:sz w:val="20"/>
        </w:rPr>
        <w:t>Exemples d'éléments permettant d'étayer l'évaluation :</w:t>
      </w:r>
    </w:p>
    <w:p w14:paraId="7234686E" w14:textId="77777777" w:rsidR="000C4185" w:rsidRPr="007D4673" w:rsidRDefault="000C4185" w:rsidP="008C6847">
      <w:pPr>
        <w:spacing w:line="240" w:lineRule="auto"/>
        <w:rPr>
          <w:sz w:val="20"/>
          <w:szCs w:val="20"/>
        </w:rPr>
      </w:pPr>
    </w:p>
    <w:p w14:paraId="5F973B3F" w14:textId="77777777" w:rsidR="000C4185" w:rsidRPr="007D4673" w:rsidRDefault="00251F6E" w:rsidP="008C6847">
      <w:pPr>
        <w:numPr>
          <w:ilvl w:val="0"/>
          <w:numId w:val="27"/>
        </w:numPr>
        <w:spacing w:line="240" w:lineRule="auto"/>
        <w:ind w:left="562" w:hanging="562"/>
        <w:rPr>
          <w:sz w:val="20"/>
          <w:szCs w:val="20"/>
        </w:rPr>
      </w:pPr>
      <w:r w:rsidRPr="007D4673">
        <w:rPr>
          <w:sz w:val="20"/>
        </w:rPr>
        <w:t xml:space="preserve">Dispositions du cadre juridique portant sur le(s) code(s) d'éthique et les normes de conduite à l'intention du personnel parlementaire </w:t>
      </w:r>
    </w:p>
    <w:p w14:paraId="47C8C052" w14:textId="77777777" w:rsidR="000C4185" w:rsidRPr="007D4673" w:rsidRDefault="00251F6E" w:rsidP="008C6847">
      <w:pPr>
        <w:numPr>
          <w:ilvl w:val="0"/>
          <w:numId w:val="27"/>
        </w:numPr>
        <w:spacing w:line="240" w:lineRule="auto"/>
        <w:ind w:left="562" w:hanging="562"/>
        <w:rPr>
          <w:sz w:val="20"/>
          <w:szCs w:val="20"/>
        </w:rPr>
      </w:pPr>
      <w:r w:rsidRPr="007D4673">
        <w:rPr>
          <w:sz w:val="20"/>
        </w:rPr>
        <w:t>Code(s) d'éthique et normes de conduite à l'intention du personnel parlementaire</w:t>
      </w:r>
    </w:p>
    <w:p w14:paraId="7B86DADC" w14:textId="77777777" w:rsidR="000C4185" w:rsidRPr="007D4673" w:rsidRDefault="00251F6E" w:rsidP="008C6847">
      <w:pPr>
        <w:numPr>
          <w:ilvl w:val="0"/>
          <w:numId w:val="27"/>
        </w:numPr>
        <w:spacing w:line="240" w:lineRule="auto"/>
        <w:ind w:left="562" w:hanging="562"/>
        <w:rPr>
          <w:sz w:val="20"/>
          <w:szCs w:val="20"/>
        </w:rPr>
      </w:pPr>
      <w:r w:rsidRPr="007D4673">
        <w:rPr>
          <w:sz w:val="20"/>
        </w:rPr>
        <w:t>Données chiffrées concernant les plaintes pour violation présumée du (des) code(s) et l'issue des enquêtes concernées</w:t>
      </w:r>
    </w:p>
    <w:p w14:paraId="7F87184A" w14:textId="7CA6EFB6" w:rsidR="000C4185" w:rsidRPr="007D4673" w:rsidRDefault="00251F6E" w:rsidP="008C6847">
      <w:pPr>
        <w:numPr>
          <w:ilvl w:val="0"/>
          <w:numId w:val="27"/>
        </w:numPr>
        <w:spacing w:line="240" w:lineRule="auto"/>
        <w:ind w:left="562" w:hanging="562"/>
        <w:rPr>
          <w:sz w:val="20"/>
          <w:szCs w:val="20"/>
        </w:rPr>
      </w:pPr>
      <w:r w:rsidRPr="007D4673">
        <w:rPr>
          <w:sz w:val="20"/>
        </w:rPr>
        <w:t>Politique</w:t>
      </w:r>
      <w:r w:rsidR="004F6763">
        <w:rPr>
          <w:sz w:val="20"/>
        </w:rPr>
        <w:t>s</w:t>
      </w:r>
      <w:r w:rsidRPr="007D4673">
        <w:rPr>
          <w:sz w:val="20"/>
        </w:rPr>
        <w:t xml:space="preserve"> et pratique</w:t>
      </w:r>
      <w:r w:rsidR="004F6763">
        <w:rPr>
          <w:sz w:val="20"/>
        </w:rPr>
        <w:t>s</w:t>
      </w:r>
      <w:r w:rsidRPr="007D4673">
        <w:rPr>
          <w:sz w:val="20"/>
        </w:rPr>
        <w:t xml:space="preserve"> </w:t>
      </w:r>
      <w:r w:rsidR="002C1D48" w:rsidRPr="007D4673">
        <w:rPr>
          <w:sz w:val="20"/>
        </w:rPr>
        <w:t xml:space="preserve">de gestion des </w:t>
      </w:r>
      <w:r w:rsidRPr="007D4673">
        <w:rPr>
          <w:sz w:val="20"/>
        </w:rPr>
        <w:t xml:space="preserve">ressources humaines </w:t>
      </w:r>
      <w:r w:rsidR="002C1D48" w:rsidRPr="007D4673">
        <w:rPr>
          <w:sz w:val="20"/>
        </w:rPr>
        <w:t xml:space="preserve">relatives au </w:t>
      </w:r>
      <w:r w:rsidRPr="007D4673">
        <w:rPr>
          <w:sz w:val="20"/>
        </w:rPr>
        <w:t xml:space="preserve">développement professionnel et </w:t>
      </w:r>
      <w:r w:rsidR="002C1D48" w:rsidRPr="007D4673">
        <w:rPr>
          <w:sz w:val="20"/>
        </w:rPr>
        <w:t xml:space="preserve">à </w:t>
      </w:r>
      <w:r w:rsidRPr="007D4673">
        <w:rPr>
          <w:sz w:val="20"/>
        </w:rPr>
        <w:t>l'élaboration d'une éthique du service parlementaire</w:t>
      </w:r>
    </w:p>
    <w:p w14:paraId="7CBBBE26" w14:textId="77777777" w:rsidR="000C4185" w:rsidRPr="007D4673" w:rsidRDefault="000C4185" w:rsidP="00471D59">
      <w:pPr>
        <w:spacing w:line="240" w:lineRule="auto"/>
        <w:rPr>
          <w:sz w:val="20"/>
          <w:szCs w:val="20"/>
        </w:rPr>
      </w:pPr>
    </w:p>
    <w:p w14:paraId="497AADF7" w14:textId="77777777" w:rsidR="000C4185" w:rsidRPr="007D4673" w:rsidRDefault="00251F6E" w:rsidP="00471D59">
      <w:pPr>
        <w:spacing w:line="240" w:lineRule="auto"/>
        <w:rPr>
          <w:sz w:val="20"/>
          <w:szCs w:val="20"/>
        </w:rPr>
      </w:pPr>
      <w:r w:rsidRPr="007D4673">
        <w:rPr>
          <w:sz w:val="20"/>
        </w:rPr>
        <w:t>Le cas échéant, merci de bien vouloir communiquer des observations ou exemples supplémentaires pour étayer l'évaluation.</w:t>
      </w:r>
    </w:p>
    <w:p w14:paraId="0270C7CF" w14:textId="77777777" w:rsidR="000C4185" w:rsidRPr="007D4673" w:rsidRDefault="00251F6E" w:rsidP="00D20D38">
      <w:pPr>
        <w:pStyle w:val="Titre4"/>
      </w:pPr>
      <w:bookmarkStart w:id="31" w:name="_n9rmqfp1gqd"/>
      <w:bookmarkEnd w:id="31"/>
      <w:r w:rsidRPr="007D4673">
        <w:t xml:space="preserve">Critère d'évaluation n° 1 : Code(s) d'éthique et normes de conduite </w:t>
      </w:r>
    </w:p>
    <w:p w14:paraId="3BADF2F7" w14:textId="77777777" w:rsidR="000C4185" w:rsidRPr="007D4673" w:rsidRDefault="00251F6E" w:rsidP="00471D59">
      <w:pPr>
        <w:spacing w:line="240" w:lineRule="auto"/>
        <w:rPr>
          <w:sz w:val="20"/>
          <w:szCs w:val="20"/>
        </w:rPr>
      </w:pPr>
      <w:r w:rsidRPr="007D4673">
        <w:rPr>
          <w:sz w:val="20"/>
        </w:rPr>
        <w:t>Le cadre juridique exige l'élaboration d'un (de) code(s) d'éthique et de normes de conduite à l'intention du personnel parlementaire.</w:t>
      </w:r>
    </w:p>
    <w:p w14:paraId="1B4ED25D"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C6847" w:rsidRPr="007D4673" w14:paraId="17C84A62"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9E90217" w14:textId="77777777" w:rsidR="000C4185" w:rsidRPr="007D4673" w:rsidRDefault="00251F6E">
            <w:pPr>
              <w:jc w:val="center"/>
              <w:rPr>
                <w:rFonts w:eastAsia="Calibri"/>
                <w:sz w:val="20"/>
                <w:szCs w:val="20"/>
              </w:rPr>
            </w:pPr>
            <w:r w:rsidRPr="007D4673">
              <w:rPr>
                <w:sz w:val="20"/>
              </w:rPr>
              <w:t>Néant</w:t>
            </w:r>
          </w:p>
          <w:p w14:paraId="3B02110F"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9554B15" w14:textId="77777777" w:rsidR="000C4185" w:rsidRPr="007D4673" w:rsidRDefault="00251F6E">
            <w:pPr>
              <w:jc w:val="center"/>
              <w:rPr>
                <w:rFonts w:eastAsia="Calibri"/>
                <w:sz w:val="20"/>
                <w:szCs w:val="20"/>
              </w:rPr>
            </w:pPr>
            <w:r w:rsidRPr="007D4673">
              <w:rPr>
                <w:sz w:val="20"/>
              </w:rPr>
              <w:t xml:space="preserve">Médiocre </w:t>
            </w:r>
          </w:p>
          <w:p w14:paraId="382E4E47"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37DD7FA" w14:textId="77777777" w:rsidR="000C4185" w:rsidRPr="007D4673" w:rsidRDefault="00251F6E">
            <w:pPr>
              <w:jc w:val="center"/>
              <w:rPr>
                <w:rFonts w:eastAsia="Calibri"/>
                <w:sz w:val="20"/>
                <w:szCs w:val="20"/>
              </w:rPr>
            </w:pPr>
            <w:r w:rsidRPr="007D4673">
              <w:rPr>
                <w:sz w:val="20"/>
              </w:rPr>
              <w:t>Moyen</w:t>
            </w:r>
          </w:p>
          <w:p w14:paraId="6DD37805"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4B04EBA" w14:textId="77777777" w:rsidR="000C4185" w:rsidRPr="007D4673" w:rsidRDefault="00251F6E">
            <w:pPr>
              <w:jc w:val="center"/>
              <w:rPr>
                <w:rFonts w:eastAsia="Calibri"/>
                <w:sz w:val="20"/>
                <w:szCs w:val="20"/>
              </w:rPr>
            </w:pPr>
            <w:r w:rsidRPr="007D4673">
              <w:rPr>
                <w:sz w:val="20"/>
              </w:rPr>
              <w:t>Bon</w:t>
            </w:r>
          </w:p>
          <w:p w14:paraId="5AC91999"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FE7EF3A" w14:textId="77777777" w:rsidR="000C4185" w:rsidRPr="007D4673" w:rsidRDefault="00251F6E">
            <w:pPr>
              <w:jc w:val="center"/>
              <w:rPr>
                <w:rFonts w:eastAsia="Calibri"/>
                <w:sz w:val="20"/>
                <w:szCs w:val="20"/>
              </w:rPr>
            </w:pPr>
            <w:r w:rsidRPr="007D4673">
              <w:rPr>
                <w:sz w:val="20"/>
              </w:rPr>
              <w:t>Très bon</w:t>
            </w:r>
          </w:p>
          <w:p w14:paraId="2FD16C72"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03A2C4E" w14:textId="77777777" w:rsidR="000C4185" w:rsidRPr="007D4673" w:rsidRDefault="00251F6E">
            <w:pPr>
              <w:jc w:val="center"/>
              <w:rPr>
                <w:rFonts w:eastAsia="Calibri"/>
                <w:sz w:val="20"/>
                <w:szCs w:val="20"/>
              </w:rPr>
            </w:pPr>
            <w:r w:rsidRPr="007D4673">
              <w:rPr>
                <w:sz w:val="20"/>
              </w:rPr>
              <w:t>Excellent</w:t>
            </w:r>
          </w:p>
          <w:p w14:paraId="22C26C7A"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8C6847" w:rsidRPr="007D4673" w14:paraId="049073A1"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A3EB5" w14:textId="77777777" w:rsidR="000C4185" w:rsidRPr="007D4673" w:rsidRDefault="00251F6E">
            <w:pPr>
              <w:rPr>
                <w:rFonts w:eastAsia="Calibri"/>
                <w:color w:val="005F9A"/>
                <w:sz w:val="20"/>
                <w:szCs w:val="20"/>
              </w:rPr>
            </w:pPr>
            <w:r w:rsidRPr="007D4673">
              <w:rPr>
                <w:color w:val="005F9A"/>
                <w:sz w:val="20"/>
              </w:rPr>
              <w:t>Éléments à l'appui de l'évaluation :</w:t>
            </w:r>
          </w:p>
          <w:p w14:paraId="44A48CEE" w14:textId="77777777" w:rsidR="000C4185" w:rsidRPr="007D4673" w:rsidRDefault="000C4185">
            <w:pPr>
              <w:rPr>
                <w:rFonts w:eastAsia="Calibri"/>
                <w:color w:val="0000FF"/>
                <w:sz w:val="20"/>
                <w:szCs w:val="20"/>
              </w:rPr>
            </w:pPr>
          </w:p>
          <w:p w14:paraId="77BF64F1" w14:textId="77777777" w:rsidR="000C4185" w:rsidRPr="007D4673" w:rsidRDefault="000C4185">
            <w:pPr>
              <w:rPr>
                <w:rFonts w:eastAsia="Calibri"/>
                <w:color w:val="0000FF"/>
                <w:sz w:val="20"/>
                <w:szCs w:val="20"/>
              </w:rPr>
            </w:pPr>
          </w:p>
        </w:tc>
      </w:tr>
    </w:tbl>
    <w:p w14:paraId="34B0A78E" w14:textId="77777777" w:rsidR="000C4185" w:rsidRPr="007D4673" w:rsidRDefault="00251F6E" w:rsidP="00D20D38">
      <w:pPr>
        <w:pStyle w:val="Titre4"/>
      </w:pPr>
      <w:bookmarkStart w:id="32" w:name="_4e3t6ym2qccx"/>
      <w:bookmarkEnd w:id="32"/>
      <w:r w:rsidRPr="007D4673">
        <w:t>Critère d'évaluation n° 2 : Champ d'application</w:t>
      </w:r>
    </w:p>
    <w:p w14:paraId="7818B1AC" w14:textId="1E1B80B4" w:rsidR="000C4185" w:rsidRPr="007D4673" w:rsidRDefault="00251F6E" w:rsidP="00471D59">
      <w:pPr>
        <w:spacing w:line="240" w:lineRule="auto"/>
        <w:rPr>
          <w:sz w:val="20"/>
          <w:szCs w:val="20"/>
        </w:rPr>
      </w:pPr>
      <w:r w:rsidRPr="007D4673">
        <w:rPr>
          <w:sz w:val="20"/>
        </w:rPr>
        <w:t xml:space="preserve">Ce(s) code(s) d'éthique et ces normes de conduite à l'intention du personnel parlementaire </w:t>
      </w:r>
      <w:r w:rsidR="00A02D57" w:rsidRPr="007D4673">
        <w:rPr>
          <w:sz w:val="20"/>
        </w:rPr>
        <w:t xml:space="preserve">existent concrètement, </w:t>
      </w:r>
      <w:r w:rsidRPr="007D4673">
        <w:rPr>
          <w:sz w:val="20"/>
        </w:rPr>
        <w:t>s'applique</w:t>
      </w:r>
      <w:r w:rsidR="004F6763">
        <w:rPr>
          <w:sz w:val="20"/>
        </w:rPr>
        <w:t>nt</w:t>
      </w:r>
      <w:r w:rsidRPr="007D4673">
        <w:rPr>
          <w:sz w:val="20"/>
        </w:rPr>
        <w:t xml:space="preserve"> à l'ensemble du personnel parlementaire et établi</w:t>
      </w:r>
      <w:r w:rsidR="004F6763">
        <w:rPr>
          <w:sz w:val="20"/>
        </w:rPr>
        <w:t>ssen</w:t>
      </w:r>
      <w:r w:rsidR="00A02D57" w:rsidRPr="007D4673">
        <w:rPr>
          <w:sz w:val="20"/>
        </w:rPr>
        <w:t xml:space="preserve">t </w:t>
      </w:r>
      <w:r w:rsidRPr="007D4673">
        <w:rPr>
          <w:sz w:val="20"/>
        </w:rPr>
        <w:t>des attentes claires en matière de professionnalisme et de conduite éthique, de respect pour le parlement, son personnel et le peuple au service duquel ils se trouvent, ainsi que d'intégrité, de redevabilité et d'impartialité.</w:t>
      </w:r>
    </w:p>
    <w:p w14:paraId="66651170"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C6847" w:rsidRPr="007D4673" w14:paraId="714BD5D5"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5ADC90" w14:textId="77777777" w:rsidR="000C4185" w:rsidRPr="007D4673" w:rsidRDefault="00251F6E">
            <w:pPr>
              <w:jc w:val="center"/>
              <w:rPr>
                <w:rFonts w:eastAsia="Calibri"/>
                <w:sz w:val="20"/>
                <w:szCs w:val="20"/>
              </w:rPr>
            </w:pPr>
            <w:r w:rsidRPr="007D4673">
              <w:rPr>
                <w:sz w:val="20"/>
              </w:rPr>
              <w:t>Néant</w:t>
            </w:r>
          </w:p>
          <w:p w14:paraId="0ECC6937"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2ED21D8" w14:textId="77777777" w:rsidR="000C4185" w:rsidRPr="007D4673" w:rsidRDefault="00251F6E">
            <w:pPr>
              <w:jc w:val="center"/>
              <w:rPr>
                <w:rFonts w:eastAsia="Calibri"/>
                <w:sz w:val="20"/>
                <w:szCs w:val="20"/>
              </w:rPr>
            </w:pPr>
            <w:r w:rsidRPr="007D4673">
              <w:rPr>
                <w:sz w:val="20"/>
              </w:rPr>
              <w:t xml:space="preserve">Médiocre </w:t>
            </w:r>
          </w:p>
          <w:p w14:paraId="6E384484"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FA96F1D" w14:textId="77777777" w:rsidR="000C4185" w:rsidRPr="007D4673" w:rsidRDefault="00251F6E">
            <w:pPr>
              <w:jc w:val="center"/>
              <w:rPr>
                <w:rFonts w:eastAsia="Calibri"/>
                <w:sz w:val="20"/>
                <w:szCs w:val="20"/>
              </w:rPr>
            </w:pPr>
            <w:r w:rsidRPr="007D4673">
              <w:rPr>
                <w:sz w:val="20"/>
              </w:rPr>
              <w:t>Moyen</w:t>
            </w:r>
          </w:p>
          <w:p w14:paraId="2218B2C8"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88F7741" w14:textId="77777777" w:rsidR="000C4185" w:rsidRPr="007D4673" w:rsidRDefault="00251F6E">
            <w:pPr>
              <w:jc w:val="center"/>
              <w:rPr>
                <w:rFonts w:eastAsia="Calibri"/>
                <w:sz w:val="20"/>
                <w:szCs w:val="20"/>
              </w:rPr>
            </w:pPr>
            <w:r w:rsidRPr="007D4673">
              <w:rPr>
                <w:sz w:val="20"/>
              </w:rPr>
              <w:t>Bon</w:t>
            </w:r>
          </w:p>
          <w:p w14:paraId="22DEAED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3E71B3E" w14:textId="77777777" w:rsidR="000C4185" w:rsidRPr="007D4673" w:rsidRDefault="00251F6E">
            <w:pPr>
              <w:jc w:val="center"/>
              <w:rPr>
                <w:rFonts w:eastAsia="Calibri"/>
                <w:sz w:val="20"/>
                <w:szCs w:val="20"/>
              </w:rPr>
            </w:pPr>
            <w:r w:rsidRPr="007D4673">
              <w:rPr>
                <w:sz w:val="20"/>
              </w:rPr>
              <w:t>Très bon</w:t>
            </w:r>
          </w:p>
          <w:p w14:paraId="640CF3E3"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FF5278D" w14:textId="77777777" w:rsidR="000C4185" w:rsidRPr="007D4673" w:rsidRDefault="00251F6E">
            <w:pPr>
              <w:jc w:val="center"/>
              <w:rPr>
                <w:rFonts w:eastAsia="Calibri"/>
                <w:sz w:val="20"/>
                <w:szCs w:val="20"/>
              </w:rPr>
            </w:pPr>
            <w:r w:rsidRPr="007D4673">
              <w:rPr>
                <w:sz w:val="20"/>
              </w:rPr>
              <w:t>Excellent</w:t>
            </w:r>
          </w:p>
          <w:p w14:paraId="5AFB2F20"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8C6847" w:rsidRPr="007D4673" w14:paraId="0B946548"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574C36" w14:textId="77777777" w:rsidR="000C4185" w:rsidRPr="007D4673" w:rsidRDefault="00251F6E">
            <w:pPr>
              <w:rPr>
                <w:rFonts w:eastAsia="Calibri"/>
                <w:color w:val="005F9A"/>
                <w:sz w:val="20"/>
                <w:szCs w:val="20"/>
              </w:rPr>
            </w:pPr>
            <w:r w:rsidRPr="007D4673">
              <w:rPr>
                <w:color w:val="005F9A"/>
                <w:sz w:val="20"/>
              </w:rPr>
              <w:t>Éléments à l'appui de l'évaluation :</w:t>
            </w:r>
          </w:p>
          <w:p w14:paraId="0113629A" w14:textId="77777777" w:rsidR="000C4185" w:rsidRPr="007D4673" w:rsidRDefault="000C4185">
            <w:pPr>
              <w:rPr>
                <w:rFonts w:eastAsia="Calibri"/>
                <w:color w:val="0000FF"/>
                <w:sz w:val="20"/>
                <w:szCs w:val="20"/>
              </w:rPr>
            </w:pPr>
          </w:p>
          <w:p w14:paraId="5FBA5D26" w14:textId="77777777" w:rsidR="000C4185" w:rsidRPr="007D4673" w:rsidRDefault="000C4185">
            <w:pPr>
              <w:rPr>
                <w:rFonts w:eastAsia="Calibri"/>
                <w:color w:val="0000FF"/>
                <w:sz w:val="20"/>
                <w:szCs w:val="20"/>
              </w:rPr>
            </w:pPr>
          </w:p>
        </w:tc>
      </w:tr>
    </w:tbl>
    <w:p w14:paraId="56FE3E5E" w14:textId="77777777" w:rsidR="000C4185" w:rsidRPr="007D4673" w:rsidRDefault="00251F6E" w:rsidP="00D20D38">
      <w:pPr>
        <w:pStyle w:val="Titre4"/>
      </w:pPr>
      <w:bookmarkStart w:id="33" w:name="_5slc0s8gvh16"/>
      <w:bookmarkEnd w:id="33"/>
      <w:r w:rsidRPr="007D4673">
        <w:t>Critère d'évaluation n° 3 : Plaintes </w:t>
      </w:r>
    </w:p>
    <w:p w14:paraId="72AB735D" w14:textId="54E3B62C" w:rsidR="000C4185" w:rsidRPr="007D4673" w:rsidRDefault="00251F6E" w:rsidP="00471D59">
      <w:pPr>
        <w:spacing w:line="240" w:lineRule="auto"/>
        <w:rPr>
          <w:sz w:val="20"/>
          <w:szCs w:val="20"/>
        </w:rPr>
      </w:pPr>
      <w:r w:rsidRPr="007D4673">
        <w:rPr>
          <w:sz w:val="20"/>
        </w:rPr>
        <w:t xml:space="preserve">Il existe une procédure fiable et clairement définie pour le dépôt de plaintes et la réalisation d'enquêtes indépendantes concernant les violations présumées de ce(s) code(s), et des sanctions sont appliquées lorsque la plainte est </w:t>
      </w:r>
      <w:r w:rsidR="00A02D57" w:rsidRPr="007D4673">
        <w:rPr>
          <w:sz w:val="20"/>
        </w:rPr>
        <w:t>considérée comme fondée</w:t>
      </w:r>
      <w:r w:rsidRPr="007D4673">
        <w:rPr>
          <w:sz w:val="20"/>
        </w:rPr>
        <w:t>.</w:t>
      </w:r>
    </w:p>
    <w:p w14:paraId="3675A11C" w14:textId="77777777" w:rsidR="000C4185" w:rsidRPr="007D4673" w:rsidRDefault="000C4185" w:rsidP="00471D59">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C6847" w:rsidRPr="007D4673" w14:paraId="5F168FD3" w14:textId="77777777" w:rsidTr="00C316A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B27F6B" w14:textId="77777777" w:rsidR="000C4185" w:rsidRPr="007D4673" w:rsidRDefault="00251F6E">
            <w:pPr>
              <w:jc w:val="center"/>
              <w:rPr>
                <w:rFonts w:eastAsia="Calibri"/>
                <w:sz w:val="20"/>
                <w:szCs w:val="20"/>
              </w:rPr>
            </w:pPr>
            <w:r w:rsidRPr="007D4673">
              <w:rPr>
                <w:sz w:val="20"/>
              </w:rPr>
              <w:t>Néant</w:t>
            </w:r>
          </w:p>
          <w:p w14:paraId="2FCF1A51"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731653A" w14:textId="77777777" w:rsidR="000C4185" w:rsidRPr="007D4673" w:rsidRDefault="00251F6E">
            <w:pPr>
              <w:jc w:val="center"/>
              <w:rPr>
                <w:rFonts w:eastAsia="Calibri"/>
                <w:sz w:val="20"/>
                <w:szCs w:val="20"/>
              </w:rPr>
            </w:pPr>
            <w:r w:rsidRPr="007D4673">
              <w:rPr>
                <w:sz w:val="20"/>
              </w:rPr>
              <w:t xml:space="preserve">Médiocre </w:t>
            </w:r>
          </w:p>
          <w:p w14:paraId="7D0526B4"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AAAFEA" w14:textId="77777777" w:rsidR="000C4185" w:rsidRPr="007D4673" w:rsidRDefault="00251F6E">
            <w:pPr>
              <w:jc w:val="center"/>
              <w:rPr>
                <w:rFonts w:eastAsia="Calibri"/>
                <w:sz w:val="20"/>
                <w:szCs w:val="20"/>
              </w:rPr>
            </w:pPr>
            <w:r w:rsidRPr="007D4673">
              <w:rPr>
                <w:sz w:val="20"/>
              </w:rPr>
              <w:t>Moyen</w:t>
            </w:r>
          </w:p>
          <w:p w14:paraId="342B8CD5"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5C6A5A4" w14:textId="77777777" w:rsidR="000C4185" w:rsidRPr="007D4673" w:rsidRDefault="00251F6E">
            <w:pPr>
              <w:jc w:val="center"/>
              <w:rPr>
                <w:rFonts w:eastAsia="Calibri"/>
                <w:sz w:val="20"/>
                <w:szCs w:val="20"/>
              </w:rPr>
            </w:pPr>
            <w:r w:rsidRPr="007D4673">
              <w:rPr>
                <w:sz w:val="20"/>
              </w:rPr>
              <w:t>Bon</w:t>
            </w:r>
          </w:p>
          <w:p w14:paraId="30CD4B63"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D1E164" w14:textId="77777777" w:rsidR="000C4185" w:rsidRPr="007D4673" w:rsidRDefault="00251F6E">
            <w:pPr>
              <w:jc w:val="center"/>
              <w:rPr>
                <w:rFonts w:eastAsia="Calibri"/>
                <w:sz w:val="20"/>
                <w:szCs w:val="20"/>
              </w:rPr>
            </w:pPr>
            <w:r w:rsidRPr="007D4673">
              <w:rPr>
                <w:sz w:val="20"/>
              </w:rPr>
              <w:t>Très bon</w:t>
            </w:r>
          </w:p>
          <w:p w14:paraId="64C09DA8"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4C6D1830" w14:textId="77777777" w:rsidR="000C4185" w:rsidRPr="007D4673" w:rsidRDefault="00251F6E">
            <w:pPr>
              <w:jc w:val="center"/>
              <w:rPr>
                <w:rFonts w:eastAsia="Calibri"/>
                <w:sz w:val="20"/>
                <w:szCs w:val="20"/>
              </w:rPr>
            </w:pPr>
            <w:r w:rsidRPr="007D4673">
              <w:rPr>
                <w:sz w:val="20"/>
              </w:rPr>
              <w:t>Excellent</w:t>
            </w:r>
          </w:p>
          <w:p w14:paraId="1045C155"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8C6847" w:rsidRPr="007D4673" w14:paraId="103ED5EA"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88976" w14:textId="77777777" w:rsidR="000C4185" w:rsidRPr="007D4673" w:rsidRDefault="00251F6E">
            <w:pPr>
              <w:rPr>
                <w:rFonts w:eastAsia="Calibri"/>
                <w:color w:val="005F9A"/>
                <w:sz w:val="20"/>
                <w:szCs w:val="20"/>
              </w:rPr>
            </w:pPr>
            <w:r w:rsidRPr="007D4673">
              <w:rPr>
                <w:color w:val="005F9A"/>
                <w:sz w:val="20"/>
              </w:rPr>
              <w:t>Éléments à l'appui de l'évaluation :</w:t>
            </w:r>
          </w:p>
          <w:p w14:paraId="19DE5EB8" w14:textId="77777777" w:rsidR="000C4185" w:rsidRPr="007D4673" w:rsidRDefault="000C4185">
            <w:pPr>
              <w:rPr>
                <w:rFonts w:eastAsia="Calibri"/>
                <w:color w:val="0000FF"/>
                <w:sz w:val="20"/>
                <w:szCs w:val="20"/>
              </w:rPr>
            </w:pPr>
          </w:p>
          <w:p w14:paraId="02E46D39" w14:textId="77777777" w:rsidR="000C4185" w:rsidRPr="007D4673" w:rsidRDefault="000C4185">
            <w:pPr>
              <w:rPr>
                <w:rFonts w:eastAsia="Calibri"/>
                <w:color w:val="0000FF"/>
                <w:sz w:val="20"/>
                <w:szCs w:val="20"/>
              </w:rPr>
            </w:pPr>
          </w:p>
        </w:tc>
      </w:tr>
    </w:tbl>
    <w:p w14:paraId="55A119F2" w14:textId="70C9A455" w:rsidR="000C4185" w:rsidRPr="007D4673" w:rsidRDefault="00251F6E" w:rsidP="00D20D38">
      <w:pPr>
        <w:pStyle w:val="Titre4"/>
      </w:pPr>
      <w:r w:rsidRPr="007D4673">
        <w:t xml:space="preserve">Critère d'évaluation n° 4 : </w:t>
      </w:r>
      <w:r w:rsidR="00A02D57" w:rsidRPr="007D4673">
        <w:t xml:space="preserve">Développement </w:t>
      </w:r>
      <w:r w:rsidRPr="007D4673">
        <w:t>professionnel</w:t>
      </w:r>
    </w:p>
    <w:p w14:paraId="206D42A4" w14:textId="77777777" w:rsidR="000C4185" w:rsidRPr="007D4673" w:rsidRDefault="00251F6E" w:rsidP="00C316A8">
      <w:pPr>
        <w:spacing w:line="240" w:lineRule="auto"/>
        <w:rPr>
          <w:sz w:val="20"/>
          <w:szCs w:val="20"/>
        </w:rPr>
      </w:pPr>
      <w:r w:rsidRPr="007D4673">
        <w:rPr>
          <w:sz w:val="20"/>
        </w:rPr>
        <w:t>L'administration parlementaire a instauré un cadre de développement professionnel promouvant une éthique du service parlementaire et garantissant que le personnel dispose des compétences et des connaissances requises pour assurer la continuité institutionnelle du parlement.</w:t>
      </w:r>
    </w:p>
    <w:p w14:paraId="1AA24C5F" w14:textId="77777777" w:rsidR="000C4185" w:rsidRPr="007D4673" w:rsidRDefault="000C4185" w:rsidP="00C316A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C316A8" w:rsidRPr="007D4673" w14:paraId="72200BB6" w14:textId="77777777" w:rsidTr="00BD3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58943A" w14:textId="77777777" w:rsidR="000C4185" w:rsidRPr="007D4673" w:rsidRDefault="00251F6E" w:rsidP="00BD37E3">
            <w:pPr>
              <w:jc w:val="center"/>
              <w:rPr>
                <w:rFonts w:eastAsia="Calibri"/>
                <w:sz w:val="20"/>
                <w:szCs w:val="20"/>
              </w:rPr>
            </w:pPr>
            <w:r w:rsidRPr="007D4673">
              <w:rPr>
                <w:sz w:val="20"/>
              </w:rPr>
              <w:t>Néant</w:t>
            </w:r>
          </w:p>
          <w:p w14:paraId="643B6C5B"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B8BF7E" w14:textId="77777777" w:rsidR="000C4185" w:rsidRPr="007D4673" w:rsidRDefault="00251F6E" w:rsidP="00BD37E3">
            <w:pPr>
              <w:jc w:val="center"/>
              <w:rPr>
                <w:rFonts w:eastAsia="Calibri"/>
                <w:sz w:val="20"/>
                <w:szCs w:val="20"/>
              </w:rPr>
            </w:pPr>
            <w:r w:rsidRPr="007D4673">
              <w:rPr>
                <w:sz w:val="20"/>
              </w:rPr>
              <w:t xml:space="preserve">Médiocre </w:t>
            </w:r>
          </w:p>
          <w:p w14:paraId="089715D9"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72DEDD7" w14:textId="77777777" w:rsidR="000C4185" w:rsidRPr="007D4673" w:rsidRDefault="00251F6E" w:rsidP="00BD37E3">
            <w:pPr>
              <w:jc w:val="center"/>
              <w:rPr>
                <w:rFonts w:eastAsia="Calibri"/>
                <w:sz w:val="20"/>
                <w:szCs w:val="20"/>
              </w:rPr>
            </w:pPr>
            <w:r w:rsidRPr="007D4673">
              <w:rPr>
                <w:sz w:val="20"/>
              </w:rPr>
              <w:t>Moyen</w:t>
            </w:r>
          </w:p>
          <w:p w14:paraId="280A19F0"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691D4F2" w14:textId="77777777" w:rsidR="000C4185" w:rsidRPr="007D4673" w:rsidRDefault="00251F6E" w:rsidP="00BD37E3">
            <w:pPr>
              <w:jc w:val="center"/>
              <w:rPr>
                <w:rFonts w:eastAsia="Calibri"/>
                <w:sz w:val="20"/>
                <w:szCs w:val="20"/>
              </w:rPr>
            </w:pPr>
            <w:r w:rsidRPr="007D4673">
              <w:rPr>
                <w:sz w:val="20"/>
              </w:rPr>
              <w:t>Bon</w:t>
            </w:r>
          </w:p>
          <w:p w14:paraId="43A309B4"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0B8044C" w14:textId="77777777" w:rsidR="000C4185" w:rsidRPr="007D4673" w:rsidRDefault="00251F6E" w:rsidP="00BD37E3">
            <w:pPr>
              <w:jc w:val="center"/>
              <w:rPr>
                <w:rFonts w:eastAsia="Calibri"/>
                <w:sz w:val="20"/>
                <w:szCs w:val="20"/>
              </w:rPr>
            </w:pPr>
            <w:r w:rsidRPr="007D4673">
              <w:rPr>
                <w:sz w:val="20"/>
              </w:rPr>
              <w:t>Très bon</w:t>
            </w:r>
          </w:p>
          <w:p w14:paraId="0E89C382"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61E1B48" w14:textId="77777777" w:rsidR="000C4185" w:rsidRPr="007D4673" w:rsidRDefault="00251F6E" w:rsidP="00BD37E3">
            <w:pPr>
              <w:jc w:val="center"/>
              <w:rPr>
                <w:rFonts w:eastAsia="Calibri"/>
                <w:sz w:val="20"/>
                <w:szCs w:val="20"/>
              </w:rPr>
            </w:pPr>
            <w:r w:rsidRPr="007D4673">
              <w:rPr>
                <w:sz w:val="20"/>
              </w:rPr>
              <w:t>Excellent</w:t>
            </w:r>
          </w:p>
          <w:p w14:paraId="5C0976D1"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r>
      <w:tr w:rsidR="00C316A8" w:rsidRPr="007D4673" w14:paraId="5740034E" w14:textId="77777777" w:rsidTr="00BD3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E3283" w14:textId="77777777" w:rsidR="000C4185" w:rsidRPr="007D4673" w:rsidRDefault="00251F6E" w:rsidP="00BD37E3">
            <w:pPr>
              <w:rPr>
                <w:rFonts w:eastAsia="Calibri"/>
                <w:color w:val="005F9A"/>
                <w:sz w:val="20"/>
                <w:szCs w:val="20"/>
              </w:rPr>
            </w:pPr>
            <w:r w:rsidRPr="007D4673">
              <w:rPr>
                <w:color w:val="005F9A"/>
                <w:sz w:val="20"/>
              </w:rPr>
              <w:t>Éléments à l'appui de l'évaluation :</w:t>
            </w:r>
          </w:p>
          <w:p w14:paraId="6894ACEB" w14:textId="77777777" w:rsidR="000C4185" w:rsidRPr="007D4673" w:rsidRDefault="000C4185" w:rsidP="00BD37E3">
            <w:pPr>
              <w:rPr>
                <w:rFonts w:eastAsia="Calibri"/>
                <w:color w:val="0000FF"/>
                <w:sz w:val="20"/>
                <w:szCs w:val="20"/>
              </w:rPr>
            </w:pPr>
          </w:p>
          <w:p w14:paraId="2ABAB1B4" w14:textId="77777777" w:rsidR="000C4185" w:rsidRPr="007D4673" w:rsidRDefault="000C4185" w:rsidP="00BD37E3">
            <w:pPr>
              <w:rPr>
                <w:rFonts w:eastAsia="Calibri"/>
                <w:color w:val="0000FF"/>
                <w:sz w:val="20"/>
                <w:szCs w:val="20"/>
              </w:rPr>
            </w:pPr>
          </w:p>
        </w:tc>
      </w:tr>
    </w:tbl>
    <w:p w14:paraId="4DCBBB06" w14:textId="77777777" w:rsidR="000C4185" w:rsidRPr="007D4673" w:rsidRDefault="000C4185" w:rsidP="00800F6F">
      <w:pPr>
        <w:pStyle w:val="section-title"/>
      </w:pPr>
    </w:p>
    <w:p w14:paraId="1BD2C068" w14:textId="77777777" w:rsidR="000C4185" w:rsidRPr="007D4673" w:rsidRDefault="00251F6E" w:rsidP="00800F6F">
      <w:pPr>
        <w:pStyle w:val="section-title"/>
      </w:pPr>
      <w:r w:rsidRPr="007D467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C6847" w:rsidRPr="007D4673" w14:paraId="57019F6F" w14:textId="77777777" w:rsidTr="006400C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7F2C067B" w14:textId="77777777" w:rsidR="000C4185" w:rsidRPr="007D4673" w:rsidRDefault="00251F6E" w:rsidP="006400CE">
            <w:pPr>
              <w:spacing w:line="240" w:lineRule="auto"/>
              <w:rPr>
                <w:rFonts w:eastAsia="Calibri"/>
                <w:sz w:val="20"/>
                <w:szCs w:val="20"/>
              </w:rPr>
            </w:pPr>
            <w:r w:rsidRPr="007D4673">
              <w:rPr>
                <w:i/>
                <w:color w:val="000000"/>
                <w:sz w:val="20"/>
              </w:rPr>
              <w:t>Dans cet encadré, notez les recommandations et les idées visant à renforcer les règles et la pratique dans ce domaine.</w:t>
            </w:r>
          </w:p>
        </w:tc>
      </w:tr>
    </w:tbl>
    <w:p w14:paraId="744E3DD0" w14:textId="77777777" w:rsidR="000C4185" w:rsidRPr="007D4673" w:rsidRDefault="00251F6E" w:rsidP="00800F6F">
      <w:pPr>
        <w:pStyle w:val="section-title"/>
      </w:pPr>
      <w:r w:rsidRPr="007D4673">
        <w:t>Sources et autre documentation</w:t>
      </w:r>
    </w:p>
    <w:p w14:paraId="78A64241" w14:textId="02B25582" w:rsidR="000C4185" w:rsidRPr="007D4673" w:rsidRDefault="00251F6E" w:rsidP="008C6847">
      <w:pPr>
        <w:numPr>
          <w:ilvl w:val="0"/>
          <w:numId w:val="24"/>
        </w:numPr>
        <w:spacing w:line="240" w:lineRule="auto"/>
        <w:ind w:left="562" w:hanging="562"/>
        <w:rPr>
          <w:sz w:val="20"/>
          <w:szCs w:val="20"/>
        </w:rPr>
      </w:pPr>
      <w:r w:rsidRPr="007D4673">
        <w:rPr>
          <w:sz w:val="20"/>
          <w:szCs w:val="20"/>
        </w:rPr>
        <w:t>Association des Secrétaires généraux des Parlements</w:t>
      </w:r>
      <w:r w:rsidRPr="007D4673">
        <w:rPr>
          <w:sz w:val="18"/>
          <w:szCs w:val="20"/>
        </w:rPr>
        <w:t xml:space="preserve"> (ASGP), </w:t>
      </w:r>
      <w:hyperlink r:id="rId33">
        <w:r w:rsidRPr="007D4673">
          <w:rPr>
            <w:i/>
            <w:color w:val="1155CC"/>
            <w:sz w:val="20"/>
            <w:u w:val="single"/>
          </w:rPr>
          <w:t>Principes pour le recrutement et la gestion des carrières du personnel de l'administration parlementaire</w:t>
        </w:r>
      </w:hyperlink>
      <w:r w:rsidRPr="007D4673">
        <w:rPr>
          <w:sz w:val="20"/>
        </w:rPr>
        <w:t xml:space="preserve"> (2014)</w:t>
      </w:r>
      <w:r w:rsidR="00A02D57" w:rsidRPr="007D4673">
        <w:rPr>
          <w:sz w:val="20"/>
        </w:rPr>
        <w:t>.</w:t>
      </w:r>
    </w:p>
    <w:p w14:paraId="663FBEFE" w14:textId="03E4ADB8" w:rsidR="00A02D57" w:rsidRPr="007D4673" w:rsidRDefault="00A02D57" w:rsidP="008C6847">
      <w:pPr>
        <w:numPr>
          <w:ilvl w:val="0"/>
          <w:numId w:val="24"/>
        </w:numPr>
        <w:spacing w:line="240" w:lineRule="auto"/>
        <w:ind w:left="562" w:hanging="562"/>
        <w:rPr>
          <w:sz w:val="20"/>
          <w:szCs w:val="20"/>
        </w:rPr>
      </w:pPr>
      <w:r w:rsidRPr="007D4673">
        <w:rPr>
          <w:sz w:val="20"/>
        </w:rPr>
        <w:t>Association parlementaire du Commonwealth (A</w:t>
      </w:r>
      <w:r w:rsidR="003F6CE5">
        <w:rPr>
          <w:sz w:val="20"/>
        </w:rPr>
        <w:t>PC</w:t>
      </w:r>
      <w:r w:rsidRPr="007D4673">
        <w:rPr>
          <w:sz w:val="20"/>
        </w:rPr>
        <w:t>),</w:t>
      </w:r>
      <w:hyperlink r:id="rId34">
        <w:r w:rsidRPr="007D4673">
          <w:t xml:space="preserve"> </w:t>
        </w:r>
      </w:hyperlink>
      <w:hyperlink r:id="rId35">
        <w:r w:rsidRPr="007D4673">
          <w:rPr>
            <w:i/>
            <w:color w:val="1155CC"/>
            <w:sz w:val="20"/>
            <w:u w:val="single"/>
          </w:rPr>
          <w:t>Recommended Benchmarks for Democratic Legislators</w:t>
        </w:r>
      </w:hyperlink>
      <w:r w:rsidRPr="007D4673">
        <w:rPr>
          <w:sz w:val="20"/>
        </w:rPr>
        <w:t>, édition révisée (2018).</w:t>
      </w:r>
    </w:p>
    <w:p w14:paraId="1D48B4D2" w14:textId="77777777" w:rsidR="000C4185" w:rsidRPr="007D4673" w:rsidRDefault="00251F6E" w:rsidP="00EE10A8">
      <w:pPr>
        <w:numPr>
          <w:ilvl w:val="0"/>
          <w:numId w:val="32"/>
        </w:numPr>
        <w:spacing w:line="240" w:lineRule="auto"/>
        <w:ind w:left="562" w:hanging="562"/>
        <w:rPr>
          <w:sz w:val="20"/>
          <w:szCs w:val="20"/>
        </w:rPr>
      </w:pPr>
      <w:r w:rsidRPr="007D4673">
        <w:rPr>
          <w:sz w:val="20"/>
        </w:rPr>
        <w:t>Beetham David,</w:t>
      </w:r>
      <w:hyperlink r:id="rId36">
        <w:r w:rsidRPr="007D4673">
          <w:t xml:space="preserve"> </w:t>
        </w:r>
      </w:hyperlink>
      <w:hyperlink r:id="rId37">
        <w:r w:rsidRPr="007D4673">
          <w:rPr>
            <w:i/>
            <w:color w:val="0563C1"/>
            <w:sz w:val="20"/>
            <w:u w:val="single"/>
          </w:rPr>
          <w:t>Parlement et démocratie au XXI</w:t>
        </w:r>
        <w:r w:rsidRPr="007D4673">
          <w:rPr>
            <w:i/>
            <w:color w:val="0563C1"/>
            <w:sz w:val="20"/>
            <w:u w:val="single"/>
            <w:vertAlign w:val="superscript"/>
          </w:rPr>
          <w:t>e</w:t>
        </w:r>
        <w:r w:rsidRPr="007D4673">
          <w:rPr>
            <w:i/>
            <w:color w:val="0563C1"/>
            <w:sz w:val="20"/>
            <w:u w:val="single"/>
          </w:rPr>
          <w:t xml:space="preserve"> siècle :</w:t>
        </w:r>
      </w:hyperlink>
      <w:hyperlink r:id="rId38">
        <w:r w:rsidRPr="007D4673">
          <w:rPr>
            <w:i/>
            <w:color w:val="0563C1"/>
            <w:sz w:val="20"/>
            <w:u w:val="single"/>
          </w:rPr>
          <w:t xml:space="preserve"> guide des bonnes pratiques</w:t>
        </w:r>
      </w:hyperlink>
      <w:r w:rsidRPr="007D4673">
        <w:rPr>
          <w:sz w:val="20"/>
        </w:rPr>
        <w:t xml:space="preserve"> (2006).</w:t>
      </w:r>
    </w:p>
    <w:p w14:paraId="094DA3D9" w14:textId="0EE217F9" w:rsidR="000C4185" w:rsidRPr="00251F6E" w:rsidRDefault="00A02D57" w:rsidP="00EE10A8">
      <w:pPr>
        <w:numPr>
          <w:ilvl w:val="0"/>
          <w:numId w:val="32"/>
        </w:numPr>
        <w:spacing w:line="240" w:lineRule="auto"/>
        <w:ind w:left="562" w:hanging="562"/>
        <w:rPr>
          <w:sz w:val="20"/>
          <w:szCs w:val="20"/>
          <w:lang w:val="en-US"/>
        </w:rPr>
      </w:pPr>
      <w:r w:rsidRPr="00251F6E">
        <w:rPr>
          <w:sz w:val="20"/>
          <w:lang w:val="en-US"/>
        </w:rPr>
        <w:t xml:space="preserve">Institut national </w:t>
      </w:r>
      <w:proofErr w:type="spellStart"/>
      <w:r w:rsidRPr="00251F6E">
        <w:rPr>
          <w:sz w:val="20"/>
          <w:lang w:val="en-US"/>
        </w:rPr>
        <w:t>démocratique</w:t>
      </w:r>
      <w:proofErr w:type="spellEnd"/>
      <w:r w:rsidRPr="00251F6E">
        <w:rPr>
          <w:sz w:val="20"/>
          <w:lang w:val="en-US"/>
        </w:rPr>
        <w:t xml:space="preserve"> (NDI), </w:t>
      </w:r>
      <w:hyperlink r:id="rId39">
        <w:r w:rsidRPr="00251F6E">
          <w:rPr>
            <w:i/>
            <w:color w:val="1155CC"/>
            <w:sz w:val="20"/>
            <w:u w:val="single"/>
            <w:lang w:val="en-US"/>
          </w:rPr>
          <w:t>Towards the Development of International Standards for Democratic Legislatures</w:t>
        </w:r>
      </w:hyperlink>
      <w:r w:rsidRPr="00251F6E">
        <w:rPr>
          <w:sz w:val="20"/>
          <w:lang w:val="en-US"/>
        </w:rPr>
        <w:t xml:space="preserve"> (2007).</w:t>
      </w:r>
    </w:p>
    <w:p w14:paraId="02938138" w14:textId="77777777" w:rsidR="000C4185" w:rsidRPr="007D4673" w:rsidRDefault="00251F6E" w:rsidP="000E1B0A">
      <w:pPr>
        <w:numPr>
          <w:ilvl w:val="0"/>
          <w:numId w:val="24"/>
        </w:numPr>
        <w:spacing w:line="240" w:lineRule="auto"/>
        <w:ind w:left="562" w:hanging="562"/>
        <w:rPr>
          <w:sz w:val="20"/>
          <w:szCs w:val="20"/>
        </w:rPr>
      </w:pPr>
      <w:r w:rsidRPr="007D4673">
        <w:rPr>
          <w:sz w:val="20"/>
        </w:rPr>
        <w:t>Union interparlementaire (UIP),</w:t>
      </w:r>
      <w:hyperlink r:id="rId40">
        <w:r w:rsidRPr="007D4673">
          <w:rPr>
            <w:sz w:val="20"/>
          </w:rPr>
          <w:t xml:space="preserve"> </w:t>
        </w:r>
      </w:hyperlink>
      <w:hyperlink r:id="rId41">
        <w:r w:rsidRPr="007D4673">
          <w:rPr>
            <w:i/>
            <w:color w:val="1155CC"/>
            <w:sz w:val="20"/>
            <w:u w:val="single"/>
          </w:rPr>
          <w:t>Lignes directrices pour l'élimination du sexisme, du harcèlement et de la violence à l'égard des femmes dans les parlements</w:t>
        </w:r>
      </w:hyperlink>
      <w:r w:rsidRPr="007D4673">
        <w:rPr>
          <w:sz w:val="20"/>
        </w:rPr>
        <w:t xml:space="preserve"> (2019).</w:t>
      </w:r>
    </w:p>
    <w:p w14:paraId="6FD0FC76" w14:textId="77777777" w:rsidR="000C4185" w:rsidRPr="007D4673" w:rsidRDefault="00251F6E" w:rsidP="000E1B0A">
      <w:pPr>
        <w:numPr>
          <w:ilvl w:val="0"/>
          <w:numId w:val="24"/>
        </w:numPr>
        <w:spacing w:line="240" w:lineRule="auto"/>
        <w:ind w:left="562" w:hanging="562"/>
        <w:rPr>
          <w:sz w:val="20"/>
          <w:szCs w:val="20"/>
        </w:rPr>
      </w:pPr>
      <w:r w:rsidRPr="007D4673">
        <w:rPr>
          <w:sz w:val="20"/>
        </w:rPr>
        <w:t xml:space="preserve">UIP, </w:t>
      </w:r>
      <w:hyperlink r:id="rId42">
        <w:r w:rsidRPr="007D4673">
          <w:rPr>
            <w:i/>
            <w:color w:val="1155CC"/>
            <w:sz w:val="20"/>
            <w:u w:val="single"/>
          </w:rPr>
          <w:t>Étude comparative sur l’administration parlementaire</w:t>
        </w:r>
      </w:hyperlink>
      <w:r w:rsidRPr="007D4673">
        <w:rPr>
          <w:i/>
          <w:sz w:val="20"/>
        </w:rPr>
        <w:t xml:space="preserve"> </w:t>
      </w:r>
      <w:r w:rsidRPr="007D4673">
        <w:rPr>
          <w:sz w:val="20"/>
        </w:rPr>
        <w:t>(2020).</w:t>
      </w:r>
    </w:p>
    <w:p w14:paraId="3979608D" w14:textId="77777777" w:rsidR="000C4185" w:rsidRPr="007D4673" w:rsidRDefault="000C4185" w:rsidP="00471D59">
      <w:pPr>
        <w:spacing w:line="240" w:lineRule="auto"/>
        <w:rPr>
          <w:sz w:val="20"/>
          <w:szCs w:val="20"/>
        </w:rPr>
      </w:pPr>
    </w:p>
    <w:p w14:paraId="0079E21C" w14:textId="77777777" w:rsidR="000C4185" w:rsidRPr="007D4673" w:rsidRDefault="00251F6E" w:rsidP="00800F6F">
      <w:pPr>
        <w:pStyle w:val="Dimension"/>
      </w:pPr>
      <w:bookmarkStart w:id="34" w:name="_heading=h.3rdcrjn"/>
      <w:bookmarkEnd w:id="34"/>
      <w:r w:rsidRPr="007D4673">
        <w:t>Aspect 2.2.5 : Développement institutionnel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471D59" w:rsidRPr="007D4673" w14:paraId="65BA77BB" w14:textId="77777777" w:rsidTr="006400CE">
        <w:tc>
          <w:tcPr>
            <w:tcW w:w="9350" w:type="dxa"/>
            <w:shd w:val="clear" w:color="auto" w:fill="EEEEEE"/>
          </w:tcPr>
          <w:p w14:paraId="5EE3FA53" w14:textId="77777777" w:rsidR="000C4185" w:rsidRPr="007D4673" w:rsidRDefault="00251F6E" w:rsidP="006400CE">
            <w:pPr>
              <w:spacing w:line="240" w:lineRule="auto"/>
              <w:rPr>
                <w:sz w:val="20"/>
                <w:szCs w:val="20"/>
              </w:rPr>
            </w:pPr>
            <w:r w:rsidRPr="007D4673">
              <w:rPr>
                <w:sz w:val="20"/>
              </w:rPr>
              <w:t>Cet aspect s'applique aux éléments suivants :</w:t>
            </w:r>
          </w:p>
          <w:p w14:paraId="6B073E28" w14:textId="77777777" w:rsidR="000C4185" w:rsidRPr="007D4673" w:rsidRDefault="00251F6E" w:rsidP="006400CE">
            <w:pPr>
              <w:pStyle w:val="Paragraphedeliste"/>
              <w:numPr>
                <w:ilvl w:val="0"/>
                <w:numId w:val="8"/>
              </w:numPr>
              <w:spacing w:line="240" w:lineRule="auto"/>
              <w:rPr>
                <w:rFonts w:eastAsia="Calibri" w:cs="Calibri"/>
                <w:sz w:val="20"/>
                <w:szCs w:val="20"/>
              </w:rPr>
            </w:pPr>
            <w:r w:rsidRPr="007D4673">
              <w:rPr>
                <w:sz w:val="20"/>
              </w:rPr>
              <w:t>Indicateur 2.2 : Intégrité institutionnelle</w:t>
            </w:r>
          </w:p>
          <w:p w14:paraId="0FE88171" w14:textId="77777777" w:rsidR="000C4185" w:rsidRPr="007D4673" w:rsidRDefault="00251F6E" w:rsidP="006400CE">
            <w:pPr>
              <w:pStyle w:val="Paragraphedeliste"/>
              <w:numPr>
                <w:ilvl w:val="0"/>
                <w:numId w:val="8"/>
              </w:numPr>
              <w:spacing w:line="240" w:lineRule="auto"/>
              <w:rPr>
                <w:rFonts w:eastAsia="Calibri" w:cs="Calibri"/>
                <w:sz w:val="24"/>
                <w:szCs w:val="20"/>
              </w:rPr>
            </w:pPr>
            <w:r w:rsidRPr="007D4673">
              <w:rPr>
                <w:sz w:val="20"/>
              </w:rPr>
              <w:t>Cible 2 : Des parlements responsables</w:t>
            </w:r>
          </w:p>
        </w:tc>
      </w:tr>
    </w:tbl>
    <w:p w14:paraId="3D903D2A" w14:textId="77777777" w:rsidR="000C4185" w:rsidRPr="007D4673" w:rsidRDefault="00251F6E" w:rsidP="00800F6F">
      <w:pPr>
        <w:pStyle w:val="section-title"/>
      </w:pPr>
      <w:r w:rsidRPr="007D4673">
        <w:t>À propos de l'aspect</w:t>
      </w:r>
    </w:p>
    <w:p w14:paraId="6187543D" w14:textId="77777777" w:rsidR="000C4185" w:rsidRPr="007D4673" w:rsidRDefault="00251F6E" w:rsidP="00471D59">
      <w:pPr>
        <w:spacing w:line="240" w:lineRule="auto"/>
        <w:rPr>
          <w:sz w:val="20"/>
          <w:szCs w:val="20"/>
        </w:rPr>
      </w:pPr>
      <w:bookmarkStart w:id="35" w:name="_heading=h.3znysh7"/>
      <w:bookmarkEnd w:id="35"/>
      <w:r w:rsidRPr="007D4673">
        <w:rPr>
          <w:sz w:val="20"/>
        </w:rPr>
        <w:t>Cet aspect traite des processus assurant le développement institutionnel du parlement, notamment la planification stratégique, mais aussi le suivi et l'évaluation de la performance parlementaire.</w:t>
      </w:r>
    </w:p>
    <w:p w14:paraId="1FB79C27" w14:textId="77777777" w:rsidR="000C4185" w:rsidRPr="007D4673" w:rsidRDefault="000C4185" w:rsidP="00471D59">
      <w:pPr>
        <w:spacing w:line="240" w:lineRule="auto"/>
        <w:rPr>
          <w:sz w:val="20"/>
          <w:szCs w:val="20"/>
        </w:rPr>
      </w:pPr>
    </w:p>
    <w:p w14:paraId="61EE3E89" w14:textId="2548C10F" w:rsidR="000C4185" w:rsidRPr="007D4673" w:rsidRDefault="00251F6E" w:rsidP="00471D59">
      <w:pPr>
        <w:spacing w:line="240" w:lineRule="auto"/>
        <w:rPr>
          <w:rFonts w:eastAsia="Times New Roman"/>
          <w:sz w:val="20"/>
          <w:szCs w:val="20"/>
        </w:rPr>
      </w:pPr>
      <w:r w:rsidRPr="007D4673">
        <w:rPr>
          <w:sz w:val="20"/>
        </w:rPr>
        <w:t>A l'instar d'un grand nombre d'autres institutions, les parlements adoptent de plus en plus fréquemment une approche stratégique pour planifier leur développement, ce qui exige de fixer des objectifs à long terme</w:t>
      </w:r>
      <w:r w:rsidR="008E15A2" w:rsidRPr="008E15A2">
        <w:rPr>
          <w:sz w:val="20"/>
        </w:rPr>
        <w:t xml:space="preserve"> </w:t>
      </w:r>
      <w:r w:rsidR="008E15A2" w:rsidRPr="007D4673">
        <w:rPr>
          <w:sz w:val="20"/>
        </w:rPr>
        <w:t>à l'institution</w:t>
      </w:r>
      <w:r w:rsidRPr="007D4673">
        <w:rPr>
          <w:sz w:val="20"/>
        </w:rPr>
        <w:t xml:space="preserve">, de diagnostiquer les lacunes dans les capacités ou les processus et de décider des mesures de nature à permettre d'atteindre les objectifs fixés. Les systèmes de suivi et d'évaluation, pour leur part, aident les parlements à déterminer les progrès réalisés et les ajustements à apporter. </w:t>
      </w:r>
    </w:p>
    <w:p w14:paraId="0BE1FAB8" w14:textId="77777777" w:rsidR="000C4185" w:rsidRPr="007D4673" w:rsidRDefault="000C4185" w:rsidP="00471D59">
      <w:pPr>
        <w:spacing w:line="240" w:lineRule="auto"/>
        <w:rPr>
          <w:rFonts w:eastAsia="Times New Roman"/>
          <w:sz w:val="20"/>
          <w:szCs w:val="20"/>
        </w:rPr>
      </w:pPr>
    </w:p>
    <w:p w14:paraId="775C1C5D" w14:textId="503D5E66" w:rsidR="000C4185" w:rsidRPr="007D4673" w:rsidRDefault="00251F6E" w:rsidP="00471D59">
      <w:pPr>
        <w:spacing w:line="240" w:lineRule="auto"/>
        <w:rPr>
          <w:sz w:val="20"/>
          <w:szCs w:val="20"/>
        </w:rPr>
      </w:pPr>
      <w:r w:rsidRPr="007D4673">
        <w:rPr>
          <w:sz w:val="20"/>
        </w:rPr>
        <w:t xml:space="preserve">L'entité chargée du développement institutionnel </w:t>
      </w:r>
      <w:r w:rsidR="00081D8D" w:rsidRPr="007D4673">
        <w:rPr>
          <w:sz w:val="20"/>
        </w:rPr>
        <w:t xml:space="preserve">au sein </w:t>
      </w:r>
      <w:r w:rsidRPr="007D4673">
        <w:rPr>
          <w:sz w:val="20"/>
        </w:rPr>
        <w:t xml:space="preserve">du parlement n'est pas la même partout. De nombreux parlements disposent d'une commission de la modernisation ou autre commission de même nature chargée de cette mission mais, dans d'autres, cette responsabilité peut être intégrée dans </w:t>
      </w:r>
      <w:r w:rsidR="00081D8D" w:rsidRPr="007D4673">
        <w:rPr>
          <w:sz w:val="20"/>
        </w:rPr>
        <w:t>celles</w:t>
      </w:r>
      <w:r w:rsidRPr="007D4673">
        <w:rPr>
          <w:sz w:val="20"/>
        </w:rPr>
        <w:t xml:space="preserve"> de la direction du parlement. L'administration parlementaire peut comporter des unités </w:t>
      </w:r>
      <w:r w:rsidR="006A5451" w:rsidRPr="007D4673">
        <w:rPr>
          <w:sz w:val="20"/>
        </w:rPr>
        <w:t xml:space="preserve">se consacrant </w:t>
      </w:r>
      <w:r w:rsidRPr="007D4673">
        <w:rPr>
          <w:sz w:val="20"/>
        </w:rPr>
        <w:t>à la planification stratégique, au suivi et à l'évaluation ou à l'innovation.</w:t>
      </w:r>
    </w:p>
    <w:p w14:paraId="23B90C7B" w14:textId="77777777" w:rsidR="000C4185" w:rsidRPr="007D4673" w:rsidRDefault="000C4185" w:rsidP="00471D59">
      <w:pPr>
        <w:spacing w:line="240" w:lineRule="auto"/>
        <w:rPr>
          <w:sz w:val="20"/>
          <w:szCs w:val="20"/>
        </w:rPr>
      </w:pPr>
    </w:p>
    <w:p w14:paraId="0D20855B" w14:textId="58201ECC" w:rsidR="000C4185" w:rsidRPr="007D4673" w:rsidRDefault="00251F6E" w:rsidP="00471D59">
      <w:pPr>
        <w:spacing w:line="240" w:lineRule="auto"/>
        <w:rPr>
          <w:sz w:val="20"/>
          <w:szCs w:val="20"/>
        </w:rPr>
      </w:pPr>
      <w:r w:rsidRPr="007D4673">
        <w:rPr>
          <w:sz w:val="20"/>
        </w:rPr>
        <w:t xml:space="preserve">Un grand nombre de parlements bénéficient, pour leur développement institutionnel, de soutien extérieur, émanant notamment de sources telles que le système des Nations Unies, les organisations spécialisées dans le développement parlementaire, les jumelages avec d'autres parlements et les partenariats </w:t>
      </w:r>
      <w:r w:rsidR="00081D8D" w:rsidRPr="007D4673">
        <w:rPr>
          <w:sz w:val="20"/>
        </w:rPr>
        <w:t xml:space="preserve">nationaux </w:t>
      </w:r>
      <w:r w:rsidRPr="007D4673">
        <w:rPr>
          <w:sz w:val="20"/>
        </w:rPr>
        <w:t xml:space="preserve">avec des organisations de la société civile et les milieux de la recherche. Le développement institutionnel est souvent soutenu financièrement par des partenaires bilatéraux et multilatéraux. </w:t>
      </w:r>
      <w:r w:rsidRPr="007D4673">
        <w:rPr>
          <w:sz w:val="20"/>
          <w:szCs w:val="20"/>
        </w:rPr>
        <w:t xml:space="preserve">Quels que soient les arrangements précis, les </w:t>
      </w:r>
      <w:r w:rsidRPr="007D4673">
        <w:rPr>
          <w:i/>
          <w:sz w:val="20"/>
          <w:szCs w:val="20"/>
        </w:rPr>
        <w:t>Principes communs en matière d'assistance aux parlements</w:t>
      </w:r>
      <w:r w:rsidRPr="007D4673">
        <w:rPr>
          <w:sz w:val="20"/>
          <w:szCs w:val="20"/>
        </w:rPr>
        <w:t xml:space="preserve"> établissent fermement la nécessité, pour le parlement, de rester aux commandes de son propre développement institutionnel.</w:t>
      </w:r>
      <w:r w:rsidRPr="007D4673">
        <w:rPr>
          <w:sz w:val="18"/>
          <w:szCs w:val="20"/>
        </w:rPr>
        <w:t xml:space="preserve"> </w:t>
      </w:r>
    </w:p>
    <w:p w14:paraId="33A8B027" w14:textId="77777777" w:rsidR="000C4185" w:rsidRPr="007D4673" w:rsidRDefault="00251F6E" w:rsidP="00800F6F">
      <w:pPr>
        <w:pStyle w:val="section-title"/>
      </w:pPr>
      <w:r w:rsidRPr="007D4673">
        <w:t>Objectifs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120"/>
      </w:tblGrid>
      <w:tr w:rsidR="00471D59" w:rsidRPr="007D4673" w14:paraId="04B4A3EF" w14:textId="77777777" w:rsidTr="008C6847">
        <w:tc>
          <w:tcPr>
            <w:tcW w:w="5000" w:type="pct"/>
            <w:shd w:val="clear" w:color="auto" w:fill="EEEEEE"/>
          </w:tcPr>
          <w:p w14:paraId="697A9591" w14:textId="77777777" w:rsidR="000C4185" w:rsidRPr="007D4673" w:rsidRDefault="00251F6E" w:rsidP="00471D59">
            <w:pPr>
              <w:spacing w:line="240" w:lineRule="auto"/>
              <w:rPr>
                <w:i/>
                <w:sz w:val="20"/>
                <w:szCs w:val="20"/>
              </w:rPr>
            </w:pPr>
            <w:r w:rsidRPr="007D4673">
              <w:rPr>
                <w:i/>
                <w:sz w:val="20"/>
              </w:rPr>
              <w:t>Après une analyse comparative, les parlements pourraient par exemple viser les objectifs suivants en ce qui concerne le développement institutionnel du parlement :</w:t>
            </w:r>
          </w:p>
          <w:p w14:paraId="1EC8CDDE" w14:textId="77777777" w:rsidR="000C4185" w:rsidRPr="007D4673" w:rsidRDefault="000C4185" w:rsidP="00471D59">
            <w:pPr>
              <w:spacing w:line="240" w:lineRule="auto"/>
              <w:rPr>
                <w:sz w:val="20"/>
                <w:szCs w:val="20"/>
              </w:rPr>
            </w:pPr>
          </w:p>
          <w:p w14:paraId="188E9099" w14:textId="77777777" w:rsidR="000C4185" w:rsidRPr="007D4673" w:rsidRDefault="00251F6E" w:rsidP="00471D59">
            <w:pPr>
              <w:spacing w:line="240" w:lineRule="auto"/>
              <w:rPr>
                <w:sz w:val="20"/>
              </w:rPr>
            </w:pPr>
            <w:r w:rsidRPr="007D4673">
              <w:rPr>
                <w:sz w:val="20"/>
              </w:rPr>
              <w:t>Le parlement dispose pour son développement institutionnel d'un plan stratégique formulant une vision à long terme assortie d'objectifs et de mesures de nature à les rendre réalisables. La planification stratégique est un processus inclusif et le plan est régulièrement revu et mis à jour.</w:t>
            </w:r>
          </w:p>
          <w:p w14:paraId="304DF3FB" w14:textId="77777777" w:rsidR="000C4185" w:rsidRPr="007D4673" w:rsidRDefault="000C4185" w:rsidP="00471D59">
            <w:pPr>
              <w:spacing w:line="240" w:lineRule="auto"/>
              <w:rPr>
                <w:sz w:val="20"/>
              </w:rPr>
            </w:pPr>
          </w:p>
          <w:p w14:paraId="3995B914" w14:textId="77777777" w:rsidR="000C4185" w:rsidRPr="007D4673" w:rsidRDefault="00251F6E" w:rsidP="00471D59">
            <w:pPr>
              <w:spacing w:line="240" w:lineRule="auto"/>
              <w:rPr>
                <w:sz w:val="20"/>
                <w:szCs w:val="20"/>
              </w:rPr>
            </w:pPr>
            <w:r w:rsidRPr="007D4673">
              <w:rPr>
                <w:sz w:val="20"/>
              </w:rPr>
              <w:t xml:space="preserve">Le parlement assume clairement la responsabilité de son propre développement institutionnel et l'administration parlementaire a mis sur pied des équipes chargées de soutenir ce développement. </w:t>
            </w:r>
          </w:p>
          <w:p w14:paraId="3FEA0663" w14:textId="77777777" w:rsidR="000C4185" w:rsidRPr="007D4673" w:rsidRDefault="000C4185" w:rsidP="00471D59">
            <w:pPr>
              <w:spacing w:line="240" w:lineRule="auto"/>
              <w:rPr>
                <w:sz w:val="20"/>
                <w:szCs w:val="20"/>
              </w:rPr>
            </w:pPr>
          </w:p>
          <w:p w14:paraId="1003E0CE" w14:textId="77777777" w:rsidR="000C4185" w:rsidRPr="007D4673" w:rsidRDefault="00251F6E" w:rsidP="00471D59">
            <w:pPr>
              <w:spacing w:line="240" w:lineRule="auto"/>
              <w:rPr>
                <w:sz w:val="18"/>
                <w:szCs w:val="18"/>
              </w:rPr>
            </w:pPr>
            <w:bookmarkStart w:id="36" w:name="_Hlk144547563"/>
            <w:r w:rsidRPr="007D4673">
              <w:rPr>
                <w:sz w:val="20"/>
                <w:szCs w:val="20"/>
              </w:rPr>
              <w:t xml:space="preserve">Le parlement a adhéré aux </w:t>
            </w:r>
            <w:r w:rsidRPr="007D4673">
              <w:rPr>
                <w:i/>
                <w:sz w:val="20"/>
                <w:szCs w:val="20"/>
              </w:rPr>
              <w:t>Principes communs en matière d'assistance aux parlements</w:t>
            </w:r>
            <w:r w:rsidRPr="007D4673">
              <w:rPr>
                <w:sz w:val="20"/>
                <w:szCs w:val="20"/>
              </w:rPr>
              <w:t>, qu'il applique dans la pratique, tout comme ses partenaires</w:t>
            </w:r>
            <w:bookmarkEnd w:id="36"/>
            <w:r w:rsidRPr="007D4673">
              <w:rPr>
                <w:sz w:val="20"/>
                <w:szCs w:val="20"/>
              </w:rPr>
              <w:t>.</w:t>
            </w:r>
            <w:r w:rsidRPr="007D4673">
              <w:rPr>
                <w:sz w:val="18"/>
                <w:szCs w:val="20"/>
              </w:rPr>
              <w:t xml:space="preserve"> </w:t>
            </w:r>
          </w:p>
          <w:p w14:paraId="7FD3F455" w14:textId="77777777" w:rsidR="000C4185" w:rsidRPr="007D4673" w:rsidRDefault="000C4185" w:rsidP="00471D59">
            <w:pPr>
              <w:spacing w:line="240" w:lineRule="auto"/>
              <w:rPr>
                <w:sz w:val="20"/>
                <w:szCs w:val="20"/>
              </w:rPr>
            </w:pPr>
          </w:p>
          <w:p w14:paraId="0151553F" w14:textId="77777777" w:rsidR="000C4185" w:rsidRPr="007D4673" w:rsidRDefault="00251F6E" w:rsidP="00D20D38">
            <w:pPr>
              <w:spacing w:line="240" w:lineRule="auto"/>
              <w:rPr>
                <w:sz w:val="20"/>
                <w:szCs w:val="20"/>
              </w:rPr>
            </w:pPr>
            <w:r w:rsidRPr="007D4673">
              <w:rPr>
                <w:sz w:val="20"/>
              </w:rPr>
              <w:t xml:space="preserve">Le parlement dispose d'un système de suivi et d'évaluation déterminant les progrès réalisés et les ajustements à apporter. </w:t>
            </w:r>
          </w:p>
          <w:p w14:paraId="284008D0" w14:textId="77777777" w:rsidR="000C4185" w:rsidRPr="007D4673" w:rsidRDefault="000C4185" w:rsidP="00D20D38">
            <w:pPr>
              <w:spacing w:line="240" w:lineRule="auto"/>
              <w:rPr>
                <w:sz w:val="20"/>
                <w:szCs w:val="20"/>
              </w:rPr>
            </w:pPr>
          </w:p>
          <w:p w14:paraId="3B9ECC83" w14:textId="77777777" w:rsidR="000C4185" w:rsidRPr="007D4673" w:rsidRDefault="00251F6E" w:rsidP="00471D59">
            <w:pPr>
              <w:spacing w:line="240" w:lineRule="auto"/>
              <w:rPr>
                <w:sz w:val="20"/>
                <w:szCs w:val="20"/>
              </w:rPr>
            </w:pPr>
            <w:r w:rsidRPr="007D4673">
              <w:rPr>
                <w:sz w:val="20"/>
              </w:rPr>
              <w:t xml:space="preserve">Le parlement encourage une culture de l'innovation rendant possible la mise à l'essai de nouvelles procédures et, le cas échéant, leur intégration dans ses activités. </w:t>
            </w:r>
          </w:p>
          <w:p w14:paraId="56187E5D" w14:textId="77777777" w:rsidR="000C4185" w:rsidRPr="007D4673" w:rsidRDefault="000C4185" w:rsidP="00471D59">
            <w:pPr>
              <w:spacing w:line="240" w:lineRule="auto"/>
              <w:rPr>
                <w:color w:val="005F9A"/>
                <w:sz w:val="20"/>
                <w:szCs w:val="20"/>
              </w:rPr>
            </w:pPr>
          </w:p>
        </w:tc>
      </w:tr>
    </w:tbl>
    <w:p w14:paraId="2101BBC0" w14:textId="77777777" w:rsidR="000C4185" w:rsidRPr="007D4673" w:rsidRDefault="00251F6E" w:rsidP="00800F6F">
      <w:pPr>
        <w:pStyle w:val="section-title"/>
      </w:pPr>
      <w:r w:rsidRPr="007D4673">
        <w:t>Évaluation</w:t>
      </w:r>
    </w:p>
    <w:p w14:paraId="5A8C89DE" w14:textId="77777777" w:rsidR="000C4185" w:rsidRPr="007D4673" w:rsidRDefault="00251F6E" w:rsidP="00471D59">
      <w:pPr>
        <w:spacing w:before="200" w:line="240" w:lineRule="auto"/>
        <w:rPr>
          <w:sz w:val="20"/>
          <w:szCs w:val="20"/>
        </w:rPr>
      </w:pPr>
      <w:r w:rsidRPr="007D4673">
        <w:rPr>
          <w:color w:val="000000"/>
          <w:sz w:val="20"/>
        </w:rPr>
        <w:t>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w:t>
      </w:r>
      <w:r w:rsidRPr="007D4673">
        <w:rPr>
          <w:sz w:val="20"/>
        </w:rPr>
        <w:t xml:space="preserve"> </w:t>
      </w:r>
    </w:p>
    <w:p w14:paraId="5C91F0AC" w14:textId="77777777" w:rsidR="000C4185" w:rsidRPr="007D4673" w:rsidRDefault="00251F6E" w:rsidP="00471D59">
      <w:pPr>
        <w:spacing w:before="200" w:line="240" w:lineRule="auto"/>
        <w:rPr>
          <w:sz w:val="20"/>
          <w:szCs w:val="20"/>
        </w:rPr>
      </w:pPr>
      <w:r w:rsidRPr="007D4673">
        <w:rPr>
          <w:sz w:val="20"/>
        </w:rPr>
        <w:t>Exemples d'éléments permettant d'étayer l'évaluation :</w:t>
      </w:r>
    </w:p>
    <w:p w14:paraId="65CAED52" w14:textId="77777777" w:rsidR="000C4185" w:rsidRPr="007D4673" w:rsidRDefault="000C4185" w:rsidP="008C6847">
      <w:pPr>
        <w:spacing w:line="240" w:lineRule="auto"/>
        <w:rPr>
          <w:sz w:val="20"/>
          <w:szCs w:val="20"/>
        </w:rPr>
      </w:pPr>
    </w:p>
    <w:p w14:paraId="34FF3FC7" w14:textId="77777777" w:rsidR="000C4185" w:rsidRPr="007D4673" w:rsidRDefault="00251F6E" w:rsidP="008C6847">
      <w:pPr>
        <w:numPr>
          <w:ilvl w:val="0"/>
          <w:numId w:val="33"/>
        </w:numPr>
        <w:pBdr>
          <w:top w:val="nil"/>
          <w:left w:val="nil"/>
          <w:bottom w:val="nil"/>
          <w:right w:val="nil"/>
          <w:between w:val="nil"/>
        </w:pBdr>
        <w:spacing w:line="240" w:lineRule="auto"/>
        <w:ind w:left="562" w:hanging="562"/>
        <w:rPr>
          <w:color w:val="000000"/>
          <w:sz w:val="20"/>
          <w:szCs w:val="20"/>
        </w:rPr>
      </w:pPr>
      <w:r w:rsidRPr="007D4673">
        <w:rPr>
          <w:color w:val="000000"/>
          <w:sz w:val="20"/>
        </w:rPr>
        <w:t>Stratégies et plans portant sur le développement institutionnel</w:t>
      </w:r>
    </w:p>
    <w:p w14:paraId="3F3E78BB" w14:textId="77777777" w:rsidR="000C4185" w:rsidRPr="007D4673" w:rsidRDefault="00251F6E" w:rsidP="008C6847">
      <w:pPr>
        <w:numPr>
          <w:ilvl w:val="0"/>
          <w:numId w:val="33"/>
        </w:numPr>
        <w:pBdr>
          <w:top w:val="nil"/>
          <w:left w:val="nil"/>
          <w:bottom w:val="nil"/>
          <w:right w:val="nil"/>
          <w:between w:val="nil"/>
        </w:pBdr>
        <w:spacing w:line="240" w:lineRule="auto"/>
        <w:ind w:left="562" w:hanging="562"/>
        <w:rPr>
          <w:color w:val="000000"/>
          <w:sz w:val="20"/>
          <w:szCs w:val="20"/>
        </w:rPr>
      </w:pPr>
      <w:r w:rsidRPr="007D4673">
        <w:rPr>
          <w:color w:val="000000"/>
          <w:sz w:val="20"/>
        </w:rPr>
        <w:t>Rapports sur la mise en œuvre de ces stratégies et plans</w:t>
      </w:r>
    </w:p>
    <w:p w14:paraId="5AAA63B1" w14:textId="77777777" w:rsidR="000C4185" w:rsidRPr="007D4673" w:rsidRDefault="00251F6E" w:rsidP="008C6847">
      <w:pPr>
        <w:numPr>
          <w:ilvl w:val="0"/>
          <w:numId w:val="33"/>
        </w:numPr>
        <w:pBdr>
          <w:top w:val="nil"/>
          <w:left w:val="nil"/>
          <w:bottom w:val="nil"/>
          <w:right w:val="nil"/>
          <w:between w:val="nil"/>
        </w:pBdr>
        <w:spacing w:line="240" w:lineRule="auto"/>
        <w:ind w:left="562" w:hanging="562"/>
        <w:rPr>
          <w:color w:val="000000"/>
          <w:sz w:val="20"/>
          <w:szCs w:val="20"/>
        </w:rPr>
      </w:pPr>
      <w:r w:rsidRPr="007D4673">
        <w:rPr>
          <w:color w:val="000000"/>
          <w:sz w:val="20"/>
        </w:rPr>
        <w:t>Éléments attestant de l'existence d'un système de suivi et d'évaluation bien rôdé</w:t>
      </w:r>
    </w:p>
    <w:p w14:paraId="55BF5B43" w14:textId="7269CB4C" w:rsidR="000C4185" w:rsidRPr="007D4673" w:rsidRDefault="00251F6E" w:rsidP="008C6847">
      <w:pPr>
        <w:numPr>
          <w:ilvl w:val="0"/>
          <w:numId w:val="33"/>
        </w:numPr>
        <w:pBdr>
          <w:top w:val="nil"/>
          <w:left w:val="nil"/>
          <w:bottom w:val="nil"/>
          <w:right w:val="nil"/>
          <w:between w:val="nil"/>
        </w:pBdr>
        <w:spacing w:line="240" w:lineRule="auto"/>
        <w:ind w:left="562" w:hanging="562"/>
        <w:rPr>
          <w:color w:val="000000"/>
          <w:sz w:val="20"/>
          <w:szCs w:val="20"/>
        </w:rPr>
      </w:pPr>
      <w:r w:rsidRPr="007D4673">
        <w:rPr>
          <w:color w:val="000000"/>
          <w:sz w:val="20"/>
        </w:rPr>
        <w:t>Rapports d'auto-évaluation, y compris conclusions et résultats</w:t>
      </w:r>
    </w:p>
    <w:p w14:paraId="291CEAA4" w14:textId="756485FF" w:rsidR="000C4185" w:rsidRPr="007D4673" w:rsidRDefault="00251F6E" w:rsidP="008C6847">
      <w:pPr>
        <w:numPr>
          <w:ilvl w:val="0"/>
          <w:numId w:val="33"/>
        </w:numPr>
        <w:pBdr>
          <w:top w:val="nil"/>
          <w:left w:val="nil"/>
          <w:bottom w:val="nil"/>
          <w:right w:val="nil"/>
          <w:between w:val="nil"/>
        </w:pBdr>
        <w:spacing w:line="240" w:lineRule="auto"/>
        <w:ind w:left="562" w:hanging="562"/>
        <w:rPr>
          <w:color w:val="000000"/>
          <w:sz w:val="20"/>
          <w:szCs w:val="20"/>
        </w:rPr>
      </w:pPr>
      <w:r w:rsidRPr="007D4673">
        <w:rPr>
          <w:color w:val="000000"/>
          <w:sz w:val="20"/>
        </w:rPr>
        <w:t>Mandats, comptes rendus et rapports de l'instance (ou des instances) parlementaire(s) chargée</w:t>
      </w:r>
      <w:r w:rsidR="007D4673" w:rsidRPr="007D4673">
        <w:rPr>
          <w:color w:val="000000"/>
          <w:sz w:val="20"/>
        </w:rPr>
        <w:t>(</w:t>
      </w:r>
      <w:r w:rsidRPr="007D4673">
        <w:rPr>
          <w:color w:val="000000"/>
          <w:sz w:val="20"/>
        </w:rPr>
        <w:t>s</w:t>
      </w:r>
      <w:r w:rsidR="007D4673" w:rsidRPr="007D4673">
        <w:rPr>
          <w:color w:val="000000"/>
          <w:sz w:val="20"/>
        </w:rPr>
        <w:t>)</w:t>
      </w:r>
      <w:r w:rsidRPr="007D4673">
        <w:rPr>
          <w:color w:val="000000"/>
          <w:sz w:val="20"/>
        </w:rPr>
        <w:t xml:space="preserve"> du développement institutionnel </w:t>
      </w:r>
    </w:p>
    <w:p w14:paraId="55624C20" w14:textId="77777777" w:rsidR="000C4185" w:rsidRPr="007D4673" w:rsidRDefault="00251F6E" w:rsidP="008C6847">
      <w:pPr>
        <w:numPr>
          <w:ilvl w:val="0"/>
          <w:numId w:val="33"/>
        </w:numPr>
        <w:pBdr>
          <w:top w:val="nil"/>
          <w:left w:val="nil"/>
          <w:bottom w:val="nil"/>
          <w:right w:val="nil"/>
          <w:between w:val="nil"/>
        </w:pBdr>
        <w:spacing w:line="240" w:lineRule="auto"/>
        <w:ind w:left="562" w:hanging="562"/>
        <w:rPr>
          <w:color w:val="000000"/>
          <w:sz w:val="20"/>
          <w:szCs w:val="20"/>
        </w:rPr>
      </w:pPr>
      <w:r w:rsidRPr="007D4673">
        <w:rPr>
          <w:color w:val="000000"/>
          <w:sz w:val="20"/>
        </w:rPr>
        <w:t xml:space="preserve">Éléments attestant de pratiques novatrices </w:t>
      </w:r>
    </w:p>
    <w:p w14:paraId="370F4A75" w14:textId="77777777" w:rsidR="000C4185" w:rsidRPr="007D4673" w:rsidRDefault="000C4185" w:rsidP="00471D59">
      <w:pPr>
        <w:spacing w:line="240" w:lineRule="auto"/>
        <w:rPr>
          <w:sz w:val="20"/>
          <w:szCs w:val="20"/>
        </w:rPr>
      </w:pPr>
    </w:p>
    <w:p w14:paraId="60A83462" w14:textId="77777777" w:rsidR="000C4185" w:rsidRPr="007D4673" w:rsidRDefault="00251F6E" w:rsidP="00471D59">
      <w:pPr>
        <w:spacing w:line="240" w:lineRule="auto"/>
        <w:rPr>
          <w:sz w:val="20"/>
          <w:szCs w:val="20"/>
        </w:rPr>
      </w:pPr>
      <w:r w:rsidRPr="007D4673">
        <w:rPr>
          <w:sz w:val="20"/>
        </w:rPr>
        <w:t>Le cas échéant, merci de bien vouloir communiquer des observations ou exemples supplémentaires pour étayer l'évaluation.</w:t>
      </w:r>
    </w:p>
    <w:p w14:paraId="2FEE7130" w14:textId="77777777" w:rsidR="000C4185" w:rsidRPr="007D4673" w:rsidRDefault="000C4185" w:rsidP="00471D59">
      <w:pPr>
        <w:spacing w:line="240" w:lineRule="auto"/>
        <w:rPr>
          <w:color w:val="000000"/>
          <w:sz w:val="20"/>
          <w:szCs w:val="20"/>
        </w:rPr>
      </w:pPr>
    </w:p>
    <w:p w14:paraId="69791341" w14:textId="77777777" w:rsidR="000C4185" w:rsidRPr="007D4673" w:rsidRDefault="00251F6E" w:rsidP="00D20D38">
      <w:pPr>
        <w:pStyle w:val="Titre4"/>
      </w:pPr>
      <w:bookmarkStart w:id="37" w:name="_heading=h.26in1rg"/>
      <w:bookmarkEnd w:id="37"/>
      <w:r w:rsidRPr="007D4673">
        <w:t>Critère d'évaluation n° 1 : Planification stratégique</w:t>
      </w:r>
    </w:p>
    <w:p w14:paraId="64E49621" w14:textId="77777777" w:rsidR="000C4185" w:rsidRPr="007D4673" w:rsidRDefault="00251F6E" w:rsidP="00471D59">
      <w:pPr>
        <w:spacing w:line="240" w:lineRule="auto"/>
        <w:rPr>
          <w:color w:val="000000"/>
          <w:sz w:val="20"/>
          <w:szCs w:val="20"/>
        </w:rPr>
      </w:pPr>
      <w:r w:rsidRPr="007D4673">
        <w:rPr>
          <w:sz w:val="20"/>
        </w:rPr>
        <w:t xml:space="preserve">Le parlement dispose pour son développement institutionnel d'un plan stratégique formulant une vision à long terme assortie d'objectifs et de mesures de nature à les rendre réalisables. </w:t>
      </w:r>
      <w:r w:rsidRPr="007D4673">
        <w:rPr>
          <w:sz w:val="20"/>
          <w:szCs w:val="20"/>
        </w:rPr>
        <w:t>La planification stratégique est un processus inclusif et le plan est régulièrement revu et mis à jour.</w:t>
      </w:r>
      <w:r w:rsidRPr="007D4673">
        <w:rPr>
          <w:color w:val="000000"/>
          <w:sz w:val="18"/>
          <w:szCs w:val="20"/>
        </w:rPr>
        <w:t xml:space="preserve"> </w:t>
      </w:r>
    </w:p>
    <w:p w14:paraId="306050F2" w14:textId="77777777" w:rsidR="000C4185" w:rsidRPr="007D4673" w:rsidRDefault="000C4185" w:rsidP="00471D59">
      <w:pPr>
        <w:spacing w:line="240" w:lineRule="auto"/>
        <w:rPr>
          <w:color w:val="000000"/>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8C6847" w:rsidRPr="007D4673" w14:paraId="528C3CE0"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A0E2F66" w14:textId="77777777" w:rsidR="000C4185" w:rsidRPr="007D4673" w:rsidRDefault="00251F6E">
            <w:pPr>
              <w:jc w:val="center"/>
              <w:rPr>
                <w:rFonts w:eastAsia="Calibri"/>
                <w:sz w:val="20"/>
                <w:szCs w:val="20"/>
              </w:rPr>
            </w:pPr>
            <w:r w:rsidRPr="007D4673">
              <w:rPr>
                <w:sz w:val="20"/>
              </w:rPr>
              <w:t>Néant</w:t>
            </w:r>
          </w:p>
          <w:p w14:paraId="0D3D53F2"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CA1002" w14:textId="77777777" w:rsidR="000C4185" w:rsidRPr="007D4673" w:rsidRDefault="00251F6E">
            <w:pPr>
              <w:jc w:val="center"/>
              <w:rPr>
                <w:rFonts w:eastAsia="Calibri"/>
                <w:sz w:val="20"/>
                <w:szCs w:val="20"/>
              </w:rPr>
            </w:pPr>
            <w:r w:rsidRPr="007D4673">
              <w:rPr>
                <w:sz w:val="20"/>
              </w:rPr>
              <w:t xml:space="preserve">Médiocre </w:t>
            </w:r>
          </w:p>
          <w:p w14:paraId="56D4CCD4"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CC2D262" w14:textId="77777777" w:rsidR="000C4185" w:rsidRPr="007D4673" w:rsidRDefault="00251F6E">
            <w:pPr>
              <w:jc w:val="center"/>
              <w:rPr>
                <w:rFonts w:eastAsia="Calibri"/>
                <w:sz w:val="20"/>
                <w:szCs w:val="20"/>
              </w:rPr>
            </w:pPr>
            <w:r w:rsidRPr="007D4673">
              <w:rPr>
                <w:sz w:val="20"/>
              </w:rPr>
              <w:t>Moyen</w:t>
            </w:r>
          </w:p>
          <w:p w14:paraId="190DCCA0"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16FD37E" w14:textId="77777777" w:rsidR="000C4185" w:rsidRPr="007D4673" w:rsidRDefault="00251F6E">
            <w:pPr>
              <w:jc w:val="center"/>
              <w:rPr>
                <w:rFonts w:eastAsia="Calibri"/>
                <w:sz w:val="20"/>
                <w:szCs w:val="20"/>
              </w:rPr>
            </w:pPr>
            <w:r w:rsidRPr="007D4673">
              <w:rPr>
                <w:sz w:val="20"/>
              </w:rPr>
              <w:t>Bon</w:t>
            </w:r>
          </w:p>
          <w:p w14:paraId="7A11598B"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A5225C" w14:textId="77777777" w:rsidR="000C4185" w:rsidRPr="007D4673" w:rsidRDefault="00251F6E">
            <w:pPr>
              <w:jc w:val="center"/>
              <w:rPr>
                <w:rFonts w:eastAsia="Calibri"/>
                <w:sz w:val="20"/>
                <w:szCs w:val="20"/>
              </w:rPr>
            </w:pPr>
            <w:r w:rsidRPr="007D4673">
              <w:rPr>
                <w:sz w:val="20"/>
              </w:rPr>
              <w:t>Très bon</w:t>
            </w:r>
          </w:p>
          <w:p w14:paraId="0823D674"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1E6C800" w14:textId="77777777" w:rsidR="000C4185" w:rsidRPr="007D4673" w:rsidRDefault="00251F6E">
            <w:pPr>
              <w:jc w:val="center"/>
              <w:rPr>
                <w:rFonts w:eastAsia="Calibri"/>
                <w:sz w:val="20"/>
                <w:szCs w:val="20"/>
              </w:rPr>
            </w:pPr>
            <w:r w:rsidRPr="007D4673">
              <w:rPr>
                <w:sz w:val="20"/>
              </w:rPr>
              <w:t>Excellent</w:t>
            </w:r>
          </w:p>
          <w:p w14:paraId="6D939A1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8C6847" w:rsidRPr="007D4673" w14:paraId="216C5B38"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83E68" w14:textId="77777777" w:rsidR="000C4185" w:rsidRPr="007D4673" w:rsidRDefault="00251F6E">
            <w:pPr>
              <w:rPr>
                <w:rFonts w:eastAsia="Calibri"/>
                <w:color w:val="005F9A"/>
                <w:sz w:val="20"/>
                <w:szCs w:val="20"/>
              </w:rPr>
            </w:pPr>
            <w:r w:rsidRPr="007D4673">
              <w:rPr>
                <w:color w:val="005F9A"/>
                <w:sz w:val="20"/>
              </w:rPr>
              <w:t>Éléments à l'appui de l'évaluation :</w:t>
            </w:r>
          </w:p>
          <w:p w14:paraId="7C4EFE3C" w14:textId="77777777" w:rsidR="000C4185" w:rsidRPr="007D4673" w:rsidRDefault="000C4185">
            <w:pPr>
              <w:rPr>
                <w:rFonts w:eastAsia="Calibri"/>
                <w:color w:val="0000FF"/>
                <w:sz w:val="20"/>
                <w:szCs w:val="20"/>
              </w:rPr>
            </w:pPr>
          </w:p>
          <w:p w14:paraId="7D7C378F" w14:textId="77777777" w:rsidR="000C4185" w:rsidRPr="007D4673" w:rsidRDefault="000C4185">
            <w:pPr>
              <w:rPr>
                <w:rFonts w:eastAsia="Calibri"/>
                <w:color w:val="0000FF"/>
                <w:sz w:val="20"/>
                <w:szCs w:val="20"/>
              </w:rPr>
            </w:pPr>
          </w:p>
        </w:tc>
      </w:tr>
    </w:tbl>
    <w:p w14:paraId="54F426F8" w14:textId="77777777" w:rsidR="000C4185" w:rsidRPr="007D4673" w:rsidRDefault="00251F6E" w:rsidP="00D20D38">
      <w:pPr>
        <w:pStyle w:val="Titre4"/>
      </w:pPr>
      <w:bookmarkStart w:id="38" w:name="_heading=h.lnxbz9"/>
      <w:bookmarkStart w:id="39" w:name="_heading=h.1vv601s4n0pr"/>
      <w:bookmarkStart w:id="40" w:name="_heading=h.lh9g651qvh5a"/>
      <w:bookmarkEnd w:id="38"/>
      <w:bookmarkEnd w:id="39"/>
      <w:bookmarkEnd w:id="40"/>
      <w:r w:rsidRPr="007D4673">
        <w:t>Critère d'évaluation n° 2 : Responsabilité en matière de développement institutionnel</w:t>
      </w:r>
    </w:p>
    <w:p w14:paraId="3587D7B4" w14:textId="77777777" w:rsidR="000C4185" w:rsidRPr="007D4673" w:rsidRDefault="00251F6E" w:rsidP="00471D59">
      <w:pPr>
        <w:spacing w:line="240" w:lineRule="auto"/>
        <w:rPr>
          <w:color w:val="000000"/>
          <w:sz w:val="18"/>
          <w:szCs w:val="18"/>
        </w:rPr>
      </w:pPr>
      <w:r w:rsidRPr="007D4673">
        <w:rPr>
          <w:sz w:val="20"/>
          <w:szCs w:val="20"/>
        </w:rPr>
        <w:t>Le parlement assume clairement la responsabilité de son propre développement institutionnel et l'administration parlementaire a mis sur pied des équipes chargées de soutenir ce développement.</w:t>
      </w:r>
      <w:r w:rsidRPr="007D4673">
        <w:rPr>
          <w:color w:val="000000"/>
          <w:sz w:val="18"/>
          <w:szCs w:val="20"/>
        </w:rPr>
        <w:t xml:space="preserve"> </w:t>
      </w:r>
    </w:p>
    <w:p w14:paraId="376AE58A" w14:textId="77777777" w:rsidR="000C4185" w:rsidRPr="007D4673" w:rsidRDefault="000C4185" w:rsidP="00471D59">
      <w:pPr>
        <w:spacing w:line="240" w:lineRule="auto"/>
      </w:pPr>
    </w:p>
    <w:tbl>
      <w:tblPr>
        <w:tblW w:w="5000" w:type="pct"/>
        <w:tblLook w:val="0400" w:firstRow="0" w:lastRow="0" w:firstColumn="0" w:lastColumn="0" w:noHBand="0" w:noVBand="1"/>
      </w:tblPr>
      <w:tblGrid>
        <w:gridCol w:w="1520"/>
        <w:gridCol w:w="1520"/>
        <w:gridCol w:w="1519"/>
        <w:gridCol w:w="1519"/>
        <w:gridCol w:w="1519"/>
        <w:gridCol w:w="1523"/>
      </w:tblGrid>
      <w:tr w:rsidR="008C6847" w:rsidRPr="007D4673" w14:paraId="3E293AA1"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AF4AE1C" w14:textId="77777777" w:rsidR="000C4185" w:rsidRPr="007D4673" w:rsidRDefault="00251F6E">
            <w:pPr>
              <w:jc w:val="center"/>
              <w:rPr>
                <w:rFonts w:eastAsia="Calibri"/>
                <w:sz w:val="20"/>
                <w:szCs w:val="20"/>
              </w:rPr>
            </w:pPr>
            <w:r w:rsidRPr="007D4673">
              <w:rPr>
                <w:sz w:val="20"/>
              </w:rPr>
              <w:t>Néant</w:t>
            </w:r>
          </w:p>
          <w:p w14:paraId="37C82CE2"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56EA33C" w14:textId="77777777" w:rsidR="000C4185" w:rsidRPr="007D4673" w:rsidRDefault="00251F6E">
            <w:pPr>
              <w:jc w:val="center"/>
              <w:rPr>
                <w:rFonts w:eastAsia="Calibri"/>
                <w:sz w:val="20"/>
                <w:szCs w:val="20"/>
              </w:rPr>
            </w:pPr>
            <w:r w:rsidRPr="007D4673">
              <w:rPr>
                <w:sz w:val="20"/>
              </w:rPr>
              <w:t xml:space="preserve">Médiocre </w:t>
            </w:r>
          </w:p>
          <w:p w14:paraId="5078F310"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11847A" w14:textId="77777777" w:rsidR="000C4185" w:rsidRPr="007D4673" w:rsidRDefault="00251F6E">
            <w:pPr>
              <w:jc w:val="center"/>
              <w:rPr>
                <w:rFonts w:eastAsia="Calibri"/>
                <w:sz w:val="20"/>
                <w:szCs w:val="20"/>
              </w:rPr>
            </w:pPr>
            <w:r w:rsidRPr="007D4673">
              <w:rPr>
                <w:sz w:val="20"/>
              </w:rPr>
              <w:t>Moyen</w:t>
            </w:r>
          </w:p>
          <w:p w14:paraId="7A142A16"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29F922A" w14:textId="77777777" w:rsidR="000C4185" w:rsidRPr="007D4673" w:rsidRDefault="00251F6E">
            <w:pPr>
              <w:jc w:val="center"/>
              <w:rPr>
                <w:rFonts w:eastAsia="Calibri"/>
                <w:sz w:val="20"/>
                <w:szCs w:val="20"/>
              </w:rPr>
            </w:pPr>
            <w:r w:rsidRPr="007D4673">
              <w:rPr>
                <w:sz w:val="20"/>
              </w:rPr>
              <w:t>Bon</w:t>
            </w:r>
          </w:p>
          <w:p w14:paraId="6EB73EFB"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6F8086A" w14:textId="77777777" w:rsidR="000C4185" w:rsidRPr="007D4673" w:rsidRDefault="00251F6E">
            <w:pPr>
              <w:jc w:val="center"/>
              <w:rPr>
                <w:rFonts w:eastAsia="Calibri"/>
                <w:sz w:val="20"/>
                <w:szCs w:val="20"/>
              </w:rPr>
            </w:pPr>
            <w:r w:rsidRPr="007D4673">
              <w:rPr>
                <w:sz w:val="20"/>
              </w:rPr>
              <w:t>Très bon</w:t>
            </w:r>
          </w:p>
          <w:p w14:paraId="74678D44"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3A363D6" w14:textId="77777777" w:rsidR="000C4185" w:rsidRPr="007D4673" w:rsidRDefault="00251F6E">
            <w:pPr>
              <w:jc w:val="center"/>
              <w:rPr>
                <w:rFonts w:eastAsia="Calibri"/>
                <w:sz w:val="20"/>
                <w:szCs w:val="20"/>
              </w:rPr>
            </w:pPr>
            <w:r w:rsidRPr="007D4673">
              <w:rPr>
                <w:sz w:val="20"/>
              </w:rPr>
              <w:t>Excellent</w:t>
            </w:r>
          </w:p>
          <w:p w14:paraId="6E39E593"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8C6847" w:rsidRPr="007D4673" w14:paraId="183139B0"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B00A3" w14:textId="77777777" w:rsidR="000C4185" w:rsidRPr="007D4673" w:rsidRDefault="00251F6E">
            <w:pPr>
              <w:rPr>
                <w:rFonts w:eastAsia="Calibri"/>
                <w:color w:val="005F9A"/>
                <w:sz w:val="20"/>
                <w:szCs w:val="20"/>
              </w:rPr>
            </w:pPr>
            <w:r w:rsidRPr="007D4673">
              <w:rPr>
                <w:color w:val="005F9A"/>
                <w:sz w:val="20"/>
              </w:rPr>
              <w:t>Éléments à l'appui de l'évaluation :</w:t>
            </w:r>
          </w:p>
          <w:p w14:paraId="7714585C" w14:textId="77777777" w:rsidR="000C4185" w:rsidRPr="007D4673" w:rsidRDefault="000C4185">
            <w:pPr>
              <w:rPr>
                <w:rFonts w:eastAsia="Calibri"/>
                <w:color w:val="0000FF"/>
                <w:sz w:val="20"/>
                <w:szCs w:val="20"/>
              </w:rPr>
            </w:pPr>
          </w:p>
          <w:p w14:paraId="628EB7E2" w14:textId="77777777" w:rsidR="000C4185" w:rsidRPr="007D4673" w:rsidRDefault="000C4185">
            <w:pPr>
              <w:rPr>
                <w:rFonts w:eastAsia="Calibri"/>
                <w:color w:val="0000FF"/>
                <w:sz w:val="20"/>
                <w:szCs w:val="20"/>
              </w:rPr>
            </w:pPr>
          </w:p>
        </w:tc>
      </w:tr>
    </w:tbl>
    <w:p w14:paraId="337ECD96" w14:textId="77777777" w:rsidR="000C4185" w:rsidRPr="007D4673" w:rsidRDefault="00251F6E" w:rsidP="00D20D38">
      <w:pPr>
        <w:pStyle w:val="Titre4"/>
        <w:rPr>
          <w:color w:val="000000"/>
        </w:rPr>
      </w:pPr>
      <w:r w:rsidRPr="007D4673">
        <w:t>Critère d'évaluation n° 3 : Principes commun en matière d'assistance aux parlements</w:t>
      </w:r>
    </w:p>
    <w:p w14:paraId="22A1B342" w14:textId="77777777" w:rsidR="000C4185" w:rsidRPr="007D4673" w:rsidRDefault="00251F6E" w:rsidP="00471D59">
      <w:pPr>
        <w:pStyle w:val="NormalWeb"/>
        <w:spacing w:before="0" w:beforeAutospacing="0" w:after="200" w:afterAutospacing="0"/>
        <w:rPr>
          <w:rFonts w:ascii="Arial" w:hAnsi="Arial" w:cs="Arial"/>
          <w:sz w:val="20"/>
          <w:szCs w:val="20"/>
        </w:rPr>
      </w:pPr>
      <w:r w:rsidRPr="007D4673">
        <w:rPr>
          <w:rFonts w:ascii="Arial" w:hAnsi="Arial"/>
          <w:color w:val="000000"/>
          <w:sz w:val="20"/>
        </w:rPr>
        <w:t xml:space="preserve">Le parlement a adhéré aux </w:t>
      </w:r>
      <w:r w:rsidRPr="007D4673">
        <w:rPr>
          <w:rFonts w:ascii="Arial" w:hAnsi="Arial"/>
          <w:i/>
          <w:color w:val="000000"/>
          <w:sz w:val="20"/>
        </w:rPr>
        <w:t>Principes communs en matière d'assistance aux parlements</w:t>
      </w:r>
      <w:r w:rsidRPr="007D4673">
        <w:rPr>
          <w:rFonts w:ascii="Arial" w:hAnsi="Arial"/>
          <w:color w:val="000000"/>
          <w:sz w:val="20"/>
        </w:rPr>
        <w:t xml:space="preserve">, qu'il applique dans la pratique, tout comme ses partenaires. </w:t>
      </w:r>
    </w:p>
    <w:tbl>
      <w:tblPr>
        <w:tblW w:w="5000" w:type="pct"/>
        <w:tblLook w:val="0400" w:firstRow="0" w:lastRow="0" w:firstColumn="0" w:lastColumn="0" w:noHBand="0" w:noVBand="1"/>
      </w:tblPr>
      <w:tblGrid>
        <w:gridCol w:w="1520"/>
        <w:gridCol w:w="1520"/>
        <w:gridCol w:w="1519"/>
        <w:gridCol w:w="1519"/>
        <w:gridCol w:w="1519"/>
        <w:gridCol w:w="1523"/>
      </w:tblGrid>
      <w:tr w:rsidR="008C6847" w:rsidRPr="007D4673" w14:paraId="285BFD8B" w14:textId="77777777" w:rsidTr="00D20D3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3066B48F" w14:textId="77777777" w:rsidR="000C4185" w:rsidRPr="007D4673" w:rsidRDefault="00251F6E">
            <w:pPr>
              <w:jc w:val="center"/>
              <w:rPr>
                <w:rFonts w:eastAsia="Calibri"/>
                <w:sz w:val="20"/>
                <w:szCs w:val="20"/>
              </w:rPr>
            </w:pPr>
            <w:r w:rsidRPr="007D4673">
              <w:rPr>
                <w:sz w:val="20"/>
              </w:rPr>
              <w:t>Néant</w:t>
            </w:r>
          </w:p>
          <w:p w14:paraId="6F2993A9"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129FB3" w14:textId="77777777" w:rsidR="000C4185" w:rsidRPr="007D4673" w:rsidRDefault="00251F6E">
            <w:pPr>
              <w:jc w:val="center"/>
              <w:rPr>
                <w:rFonts w:eastAsia="Calibri"/>
                <w:sz w:val="20"/>
                <w:szCs w:val="20"/>
              </w:rPr>
            </w:pPr>
            <w:r w:rsidRPr="007D4673">
              <w:rPr>
                <w:sz w:val="20"/>
              </w:rPr>
              <w:t xml:space="preserve">Médiocre </w:t>
            </w:r>
          </w:p>
          <w:p w14:paraId="4A855FAE"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B48540" w14:textId="77777777" w:rsidR="000C4185" w:rsidRPr="007D4673" w:rsidRDefault="00251F6E">
            <w:pPr>
              <w:jc w:val="center"/>
              <w:rPr>
                <w:rFonts w:eastAsia="Calibri"/>
                <w:sz w:val="20"/>
                <w:szCs w:val="20"/>
              </w:rPr>
            </w:pPr>
            <w:r w:rsidRPr="007D4673">
              <w:rPr>
                <w:sz w:val="20"/>
              </w:rPr>
              <w:t>Moyen</w:t>
            </w:r>
          </w:p>
          <w:p w14:paraId="1D68EFCC"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C42F36" w14:textId="77777777" w:rsidR="000C4185" w:rsidRPr="007D4673" w:rsidRDefault="00251F6E">
            <w:pPr>
              <w:jc w:val="center"/>
              <w:rPr>
                <w:rFonts w:eastAsia="Calibri"/>
                <w:sz w:val="20"/>
                <w:szCs w:val="20"/>
              </w:rPr>
            </w:pPr>
            <w:r w:rsidRPr="007D4673">
              <w:rPr>
                <w:sz w:val="20"/>
              </w:rPr>
              <w:t>Bon</w:t>
            </w:r>
          </w:p>
          <w:p w14:paraId="4A541D1B"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ED83A1" w14:textId="77777777" w:rsidR="000C4185" w:rsidRPr="007D4673" w:rsidRDefault="00251F6E">
            <w:pPr>
              <w:jc w:val="center"/>
              <w:rPr>
                <w:rFonts w:eastAsia="Calibri"/>
                <w:sz w:val="20"/>
                <w:szCs w:val="20"/>
              </w:rPr>
            </w:pPr>
            <w:r w:rsidRPr="007D4673">
              <w:rPr>
                <w:sz w:val="20"/>
              </w:rPr>
              <w:t>Très bon</w:t>
            </w:r>
          </w:p>
          <w:p w14:paraId="0DDF83C5"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52CECC98" w14:textId="77777777" w:rsidR="000C4185" w:rsidRPr="007D4673" w:rsidRDefault="00251F6E">
            <w:pPr>
              <w:jc w:val="center"/>
              <w:rPr>
                <w:rFonts w:eastAsia="Calibri"/>
                <w:sz w:val="20"/>
                <w:szCs w:val="20"/>
              </w:rPr>
            </w:pPr>
            <w:r w:rsidRPr="007D4673">
              <w:rPr>
                <w:sz w:val="20"/>
              </w:rPr>
              <w:t>Excellent</w:t>
            </w:r>
          </w:p>
          <w:p w14:paraId="628BCD9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8C6847" w:rsidRPr="007D4673" w14:paraId="070DA217"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1A7A7C" w14:textId="77777777" w:rsidR="000C4185" w:rsidRPr="007D4673" w:rsidRDefault="00251F6E">
            <w:pPr>
              <w:rPr>
                <w:rFonts w:eastAsia="Calibri"/>
                <w:color w:val="005F9A"/>
                <w:sz w:val="20"/>
                <w:szCs w:val="20"/>
              </w:rPr>
            </w:pPr>
            <w:r w:rsidRPr="007D4673">
              <w:rPr>
                <w:color w:val="005F9A"/>
                <w:sz w:val="20"/>
              </w:rPr>
              <w:t>Éléments à l'appui de l'évaluation :</w:t>
            </w:r>
          </w:p>
          <w:p w14:paraId="4ED9E1B4" w14:textId="77777777" w:rsidR="000C4185" w:rsidRPr="007D4673" w:rsidRDefault="000C4185">
            <w:pPr>
              <w:rPr>
                <w:rFonts w:eastAsia="Calibri"/>
                <w:color w:val="0000FF"/>
                <w:sz w:val="20"/>
                <w:szCs w:val="20"/>
              </w:rPr>
            </w:pPr>
          </w:p>
          <w:p w14:paraId="17B49D92" w14:textId="77777777" w:rsidR="000C4185" w:rsidRPr="007D4673" w:rsidRDefault="000C4185">
            <w:pPr>
              <w:rPr>
                <w:rFonts w:eastAsia="Calibri"/>
                <w:color w:val="0000FF"/>
                <w:sz w:val="20"/>
                <w:szCs w:val="20"/>
              </w:rPr>
            </w:pPr>
          </w:p>
        </w:tc>
      </w:tr>
    </w:tbl>
    <w:p w14:paraId="310FFABD" w14:textId="77777777" w:rsidR="000C4185" w:rsidRPr="007D4673" w:rsidRDefault="00251F6E" w:rsidP="00D20D38">
      <w:pPr>
        <w:pStyle w:val="Titre4"/>
      </w:pPr>
      <w:r w:rsidRPr="007D4673">
        <w:t xml:space="preserve">Critère d'évaluation n° 4 : Suivi et évaluation </w:t>
      </w:r>
    </w:p>
    <w:p w14:paraId="4D12E8D8" w14:textId="77777777" w:rsidR="000C4185" w:rsidRPr="007D4673" w:rsidRDefault="00251F6E" w:rsidP="00D20D38">
      <w:pPr>
        <w:spacing w:line="240" w:lineRule="auto"/>
        <w:rPr>
          <w:color w:val="000000"/>
          <w:sz w:val="18"/>
          <w:szCs w:val="18"/>
        </w:rPr>
      </w:pPr>
      <w:r w:rsidRPr="007D4673">
        <w:rPr>
          <w:sz w:val="20"/>
          <w:szCs w:val="20"/>
        </w:rPr>
        <w:t>Le parlement dispose d'un système de suivi et d'évaluation déterminant les progrès réalisés et les ajustements à apporter.</w:t>
      </w:r>
      <w:r w:rsidRPr="007D4673">
        <w:rPr>
          <w:color w:val="000000"/>
          <w:sz w:val="18"/>
          <w:szCs w:val="20"/>
        </w:rPr>
        <w:t xml:space="preserve"> </w:t>
      </w:r>
    </w:p>
    <w:p w14:paraId="697B8B8B" w14:textId="77777777" w:rsidR="000C4185" w:rsidRPr="007D4673" w:rsidRDefault="000C4185" w:rsidP="00D20D38">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D20D38" w:rsidRPr="007D4673" w14:paraId="20D553C6" w14:textId="77777777" w:rsidTr="00BD37E3">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A554F9" w14:textId="77777777" w:rsidR="000C4185" w:rsidRPr="007D4673" w:rsidRDefault="00251F6E" w:rsidP="00BD37E3">
            <w:pPr>
              <w:jc w:val="center"/>
              <w:rPr>
                <w:rFonts w:eastAsia="Calibri"/>
                <w:sz w:val="20"/>
                <w:szCs w:val="20"/>
              </w:rPr>
            </w:pPr>
            <w:r w:rsidRPr="007D4673">
              <w:rPr>
                <w:sz w:val="20"/>
              </w:rPr>
              <w:t>Néant</w:t>
            </w:r>
          </w:p>
          <w:p w14:paraId="38B9A980"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5A8738F" w14:textId="77777777" w:rsidR="000C4185" w:rsidRPr="007D4673" w:rsidRDefault="00251F6E" w:rsidP="00BD37E3">
            <w:pPr>
              <w:jc w:val="center"/>
              <w:rPr>
                <w:rFonts w:eastAsia="Calibri"/>
                <w:sz w:val="20"/>
                <w:szCs w:val="20"/>
              </w:rPr>
            </w:pPr>
            <w:r w:rsidRPr="007D4673">
              <w:rPr>
                <w:sz w:val="20"/>
              </w:rPr>
              <w:t xml:space="preserve">Médiocre </w:t>
            </w:r>
          </w:p>
          <w:p w14:paraId="6A66098A"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88F61B" w14:textId="77777777" w:rsidR="000C4185" w:rsidRPr="007D4673" w:rsidRDefault="00251F6E" w:rsidP="00BD37E3">
            <w:pPr>
              <w:jc w:val="center"/>
              <w:rPr>
                <w:rFonts w:eastAsia="Calibri"/>
                <w:sz w:val="20"/>
                <w:szCs w:val="20"/>
              </w:rPr>
            </w:pPr>
            <w:r w:rsidRPr="007D4673">
              <w:rPr>
                <w:sz w:val="20"/>
              </w:rPr>
              <w:t>Moyen</w:t>
            </w:r>
          </w:p>
          <w:p w14:paraId="0C565722"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759675A" w14:textId="77777777" w:rsidR="000C4185" w:rsidRPr="007D4673" w:rsidRDefault="00251F6E" w:rsidP="00BD37E3">
            <w:pPr>
              <w:jc w:val="center"/>
              <w:rPr>
                <w:rFonts w:eastAsia="Calibri"/>
                <w:sz w:val="20"/>
                <w:szCs w:val="20"/>
              </w:rPr>
            </w:pPr>
            <w:r w:rsidRPr="007D4673">
              <w:rPr>
                <w:sz w:val="20"/>
              </w:rPr>
              <w:t>Bon</w:t>
            </w:r>
          </w:p>
          <w:p w14:paraId="6BDEC3C8"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09B28F" w14:textId="77777777" w:rsidR="000C4185" w:rsidRPr="007D4673" w:rsidRDefault="00251F6E" w:rsidP="00BD37E3">
            <w:pPr>
              <w:jc w:val="center"/>
              <w:rPr>
                <w:rFonts w:eastAsia="Calibri"/>
                <w:sz w:val="20"/>
                <w:szCs w:val="20"/>
              </w:rPr>
            </w:pPr>
            <w:r w:rsidRPr="007D4673">
              <w:rPr>
                <w:sz w:val="20"/>
              </w:rPr>
              <w:t>Très bon</w:t>
            </w:r>
          </w:p>
          <w:p w14:paraId="7B140F28"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4B96715C" w14:textId="77777777" w:rsidR="000C4185" w:rsidRPr="007D4673" w:rsidRDefault="00251F6E" w:rsidP="00BD37E3">
            <w:pPr>
              <w:jc w:val="center"/>
              <w:rPr>
                <w:rFonts w:eastAsia="Calibri"/>
                <w:sz w:val="20"/>
                <w:szCs w:val="20"/>
              </w:rPr>
            </w:pPr>
            <w:r w:rsidRPr="007D4673">
              <w:rPr>
                <w:sz w:val="20"/>
              </w:rPr>
              <w:t>Excellent</w:t>
            </w:r>
          </w:p>
          <w:p w14:paraId="6587ABC3" w14:textId="77777777" w:rsidR="000C4185" w:rsidRPr="007D4673" w:rsidRDefault="00251F6E" w:rsidP="00BD37E3">
            <w:pPr>
              <w:jc w:val="center"/>
              <w:rPr>
                <w:rFonts w:eastAsia="Calibri"/>
                <w:sz w:val="20"/>
                <w:szCs w:val="20"/>
              </w:rPr>
            </w:pPr>
            <w:r w:rsidRPr="007D4673">
              <w:rPr>
                <w:rFonts w:ascii="Segoe UI Symbol" w:hAnsi="Segoe UI Symbol" w:cs="Segoe UI Symbol"/>
                <w:sz w:val="20"/>
                <w:cs/>
              </w:rPr>
              <w:t>☐</w:t>
            </w:r>
          </w:p>
        </w:tc>
      </w:tr>
      <w:tr w:rsidR="00D20D38" w:rsidRPr="007D4673" w14:paraId="59FDA8B8" w14:textId="77777777" w:rsidTr="00BD37E3">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FB970A" w14:textId="77777777" w:rsidR="000C4185" w:rsidRPr="007D4673" w:rsidRDefault="00251F6E" w:rsidP="00BD37E3">
            <w:pPr>
              <w:rPr>
                <w:rFonts w:eastAsia="Calibri"/>
                <w:color w:val="005F9A"/>
                <w:sz w:val="20"/>
                <w:szCs w:val="20"/>
              </w:rPr>
            </w:pPr>
            <w:r w:rsidRPr="007D4673">
              <w:rPr>
                <w:color w:val="005F9A"/>
                <w:sz w:val="20"/>
              </w:rPr>
              <w:t>Éléments à l'appui de l'évaluation :</w:t>
            </w:r>
          </w:p>
          <w:p w14:paraId="78DE38BD" w14:textId="77777777" w:rsidR="000C4185" w:rsidRPr="007D4673" w:rsidRDefault="000C4185" w:rsidP="00BD37E3">
            <w:pPr>
              <w:rPr>
                <w:rFonts w:eastAsia="Calibri"/>
                <w:color w:val="0000FF"/>
                <w:sz w:val="20"/>
                <w:szCs w:val="20"/>
              </w:rPr>
            </w:pPr>
          </w:p>
          <w:p w14:paraId="0033B043" w14:textId="77777777" w:rsidR="000C4185" w:rsidRPr="007D4673" w:rsidRDefault="000C4185" w:rsidP="00BD37E3">
            <w:pPr>
              <w:rPr>
                <w:rFonts w:eastAsia="Calibri"/>
                <w:color w:val="0000FF"/>
                <w:sz w:val="20"/>
                <w:szCs w:val="20"/>
              </w:rPr>
            </w:pPr>
          </w:p>
        </w:tc>
      </w:tr>
    </w:tbl>
    <w:p w14:paraId="733E8564" w14:textId="77777777" w:rsidR="000C4185" w:rsidRPr="007D4673" w:rsidRDefault="00251F6E" w:rsidP="00D20D38">
      <w:pPr>
        <w:pStyle w:val="Titre4"/>
        <w:rPr>
          <w:color w:val="000000"/>
        </w:rPr>
      </w:pPr>
      <w:r w:rsidRPr="007D4673">
        <w:t xml:space="preserve">Critère d'évaluation n° 5 : </w:t>
      </w:r>
      <w:r w:rsidRPr="007D4673">
        <w:rPr>
          <w:color w:val="000000"/>
        </w:rPr>
        <w:t>Innovation</w:t>
      </w:r>
    </w:p>
    <w:p w14:paraId="409040CB" w14:textId="77777777" w:rsidR="000C4185" w:rsidRPr="007D4673" w:rsidRDefault="00251F6E" w:rsidP="00471D59">
      <w:pPr>
        <w:pStyle w:val="NormalWeb"/>
        <w:spacing w:before="0" w:beforeAutospacing="0" w:after="200" w:afterAutospacing="0"/>
        <w:rPr>
          <w:rFonts w:ascii="Arial" w:hAnsi="Arial" w:cs="Arial"/>
          <w:sz w:val="20"/>
          <w:szCs w:val="20"/>
        </w:rPr>
      </w:pPr>
      <w:r w:rsidRPr="007D4673">
        <w:rPr>
          <w:rFonts w:ascii="Arial" w:hAnsi="Arial"/>
          <w:color w:val="000000"/>
          <w:sz w:val="20"/>
        </w:rPr>
        <w:t>Le parlement encourage une culture de l'innovation rendant possible la mise à l'essai de nouvelles procédures et, le cas échéant, leur intégration dans ses activités. </w:t>
      </w:r>
    </w:p>
    <w:tbl>
      <w:tblPr>
        <w:tblW w:w="5000" w:type="pct"/>
        <w:tblLook w:val="0400" w:firstRow="0" w:lastRow="0" w:firstColumn="0" w:lastColumn="0" w:noHBand="0" w:noVBand="1"/>
      </w:tblPr>
      <w:tblGrid>
        <w:gridCol w:w="1520"/>
        <w:gridCol w:w="1520"/>
        <w:gridCol w:w="1519"/>
        <w:gridCol w:w="1519"/>
        <w:gridCol w:w="1519"/>
        <w:gridCol w:w="1523"/>
      </w:tblGrid>
      <w:tr w:rsidR="008C6847" w:rsidRPr="007D4673" w14:paraId="13808BCA" w14:textId="77777777" w:rsidTr="008C684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128223" w14:textId="77777777" w:rsidR="000C4185" w:rsidRPr="007D4673" w:rsidRDefault="00251F6E">
            <w:pPr>
              <w:jc w:val="center"/>
              <w:rPr>
                <w:rFonts w:eastAsia="Calibri"/>
                <w:sz w:val="20"/>
                <w:szCs w:val="20"/>
              </w:rPr>
            </w:pPr>
            <w:r w:rsidRPr="007D4673">
              <w:rPr>
                <w:sz w:val="20"/>
              </w:rPr>
              <w:t>Néant</w:t>
            </w:r>
          </w:p>
          <w:p w14:paraId="5617631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A4226AD" w14:textId="77777777" w:rsidR="000C4185" w:rsidRPr="007D4673" w:rsidRDefault="00251F6E">
            <w:pPr>
              <w:jc w:val="center"/>
              <w:rPr>
                <w:rFonts w:eastAsia="Calibri"/>
                <w:sz w:val="20"/>
                <w:szCs w:val="20"/>
              </w:rPr>
            </w:pPr>
            <w:r w:rsidRPr="007D4673">
              <w:rPr>
                <w:sz w:val="20"/>
              </w:rPr>
              <w:t xml:space="preserve">Médiocre </w:t>
            </w:r>
          </w:p>
          <w:p w14:paraId="36D29E34"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90C052F" w14:textId="77777777" w:rsidR="000C4185" w:rsidRPr="007D4673" w:rsidRDefault="00251F6E">
            <w:pPr>
              <w:jc w:val="center"/>
              <w:rPr>
                <w:rFonts w:eastAsia="Calibri"/>
                <w:sz w:val="20"/>
                <w:szCs w:val="20"/>
              </w:rPr>
            </w:pPr>
            <w:r w:rsidRPr="007D4673">
              <w:rPr>
                <w:sz w:val="20"/>
              </w:rPr>
              <w:t>Moyen</w:t>
            </w:r>
          </w:p>
          <w:p w14:paraId="6D2FC32C"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5F6CCA" w14:textId="77777777" w:rsidR="000C4185" w:rsidRPr="007D4673" w:rsidRDefault="00251F6E">
            <w:pPr>
              <w:jc w:val="center"/>
              <w:rPr>
                <w:rFonts w:eastAsia="Calibri"/>
                <w:sz w:val="20"/>
                <w:szCs w:val="20"/>
              </w:rPr>
            </w:pPr>
            <w:r w:rsidRPr="007D4673">
              <w:rPr>
                <w:sz w:val="20"/>
              </w:rPr>
              <w:t>Bon</w:t>
            </w:r>
          </w:p>
          <w:p w14:paraId="53DD5A52"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DDEECEE" w14:textId="77777777" w:rsidR="000C4185" w:rsidRPr="007D4673" w:rsidRDefault="00251F6E">
            <w:pPr>
              <w:jc w:val="center"/>
              <w:rPr>
                <w:rFonts w:eastAsia="Calibri"/>
                <w:sz w:val="20"/>
                <w:szCs w:val="20"/>
              </w:rPr>
            </w:pPr>
            <w:r w:rsidRPr="007D4673">
              <w:rPr>
                <w:sz w:val="20"/>
              </w:rPr>
              <w:t>Très bon</w:t>
            </w:r>
          </w:p>
          <w:p w14:paraId="1C344AF1"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1D2BC95C" w14:textId="77777777" w:rsidR="000C4185" w:rsidRPr="007D4673" w:rsidRDefault="00251F6E">
            <w:pPr>
              <w:jc w:val="center"/>
              <w:rPr>
                <w:rFonts w:eastAsia="Calibri"/>
                <w:sz w:val="20"/>
                <w:szCs w:val="20"/>
              </w:rPr>
            </w:pPr>
            <w:r w:rsidRPr="007D4673">
              <w:rPr>
                <w:sz w:val="20"/>
              </w:rPr>
              <w:t>Excellent</w:t>
            </w:r>
          </w:p>
          <w:p w14:paraId="33D87EAD" w14:textId="77777777" w:rsidR="000C4185" w:rsidRPr="007D4673" w:rsidRDefault="00251F6E">
            <w:pPr>
              <w:jc w:val="center"/>
              <w:rPr>
                <w:rFonts w:eastAsia="Calibri"/>
                <w:sz w:val="20"/>
                <w:szCs w:val="20"/>
              </w:rPr>
            </w:pPr>
            <w:r w:rsidRPr="007D4673">
              <w:rPr>
                <w:rFonts w:ascii="Segoe UI Symbol" w:hAnsi="Segoe UI Symbol" w:cs="Segoe UI Symbol"/>
                <w:sz w:val="20"/>
                <w:cs/>
              </w:rPr>
              <w:t>☐</w:t>
            </w:r>
          </w:p>
        </w:tc>
      </w:tr>
      <w:tr w:rsidR="008C6847" w:rsidRPr="007D4673" w14:paraId="6357E1F5" w14:textId="77777777" w:rsidTr="008C684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7F8F29" w14:textId="77777777" w:rsidR="000C4185" w:rsidRPr="007D4673" w:rsidRDefault="00251F6E">
            <w:pPr>
              <w:rPr>
                <w:rFonts w:eastAsia="Calibri"/>
                <w:color w:val="005F9A"/>
                <w:sz w:val="20"/>
                <w:szCs w:val="20"/>
              </w:rPr>
            </w:pPr>
            <w:r w:rsidRPr="007D4673">
              <w:rPr>
                <w:color w:val="005F9A"/>
                <w:sz w:val="20"/>
              </w:rPr>
              <w:t>Éléments à l'appui de l'évaluation :</w:t>
            </w:r>
          </w:p>
          <w:p w14:paraId="49A3FC60" w14:textId="77777777" w:rsidR="000C4185" w:rsidRPr="007D4673" w:rsidRDefault="000C4185">
            <w:pPr>
              <w:rPr>
                <w:rFonts w:eastAsia="Calibri"/>
                <w:color w:val="0000FF"/>
                <w:sz w:val="20"/>
                <w:szCs w:val="20"/>
              </w:rPr>
            </w:pPr>
          </w:p>
          <w:p w14:paraId="3315B89B" w14:textId="77777777" w:rsidR="000C4185" w:rsidRPr="007D4673" w:rsidRDefault="000C4185">
            <w:pPr>
              <w:rPr>
                <w:rFonts w:eastAsia="Calibri"/>
                <w:color w:val="0000FF"/>
                <w:sz w:val="20"/>
                <w:szCs w:val="20"/>
              </w:rPr>
            </w:pPr>
          </w:p>
        </w:tc>
      </w:tr>
    </w:tbl>
    <w:p w14:paraId="3D845111" w14:textId="77777777" w:rsidR="000C4185" w:rsidRPr="007D4673" w:rsidRDefault="00251F6E" w:rsidP="00800F6F">
      <w:pPr>
        <w:pStyle w:val="section-title"/>
      </w:pPr>
      <w:r w:rsidRPr="007D4673">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8C6847" w:rsidRPr="007D4673" w14:paraId="2229ECC5" w14:textId="77777777" w:rsidTr="006400CE">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826C395" w14:textId="77777777" w:rsidR="000C4185" w:rsidRPr="007D4673" w:rsidRDefault="00251F6E" w:rsidP="006400CE">
            <w:pPr>
              <w:spacing w:line="240" w:lineRule="auto"/>
              <w:rPr>
                <w:rFonts w:eastAsia="Calibri"/>
                <w:sz w:val="20"/>
                <w:szCs w:val="20"/>
              </w:rPr>
            </w:pPr>
            <w:r w:rsidRPr="007D4673">
              <w:rPr>
                <w:i/>
                <w:color w:val="000000"/>
                <w:sz w:val="20"/>
              </w:rPr>
              <w:t>Dans cet encadré, notez les recommandations et les idées visant à renforcer les règles et la pratique dans ce domaine.</w:t>
            </w:r>
          </w:p>
        </w:tc>
      </w:tr>
    </w:tbl>
    <w:p w14:paraId="3D6CF98A" w14:textId="77777777" w:rsidR="000C4185" w:rsidRPr="007D4673" w:rsidRDefault="00251F6E" w:rsidP="00800F6F">
      <w:pPr>
        <w:pStyle w:val="section-title"/>
      </w:pPr>
      <w:r w:rsidRPr="007D4673">
        <w:t>Sources et autre documentation</w:t>
      </w:r>
    </w:p>
    <w:p w14:paraId="18ADF0E9" w14:textId="77777777" w:rsidR="000C4185" w:rsidRPr="007D4673" w:rsidRDefault="00251F6E" w:rsidP="008C6847">
      <w:pPr>
        <w:pStyle w:val="Paragraphedeliste"/>
        <w:numPr>
          <w:ilvl w:val="0"/>
          <w:numId w:val="34"/>
        </w:numPr>
        <w:spacing w:line="240" w:lineRule="auto"/>
        <w:ind w:left="562" w:hanging="562"/>
        <w:rPr>
          <w:sz w:val="20"/>
          <w:szCs w:val="20"/>
        </w:rPr>
      </w:pPr>
      <w:r w:rsidRPr="007D4673">
        <w:rPr>
          <w:sz w:val="20"/>
        </w:rPr>
        <w:t xml:space="preserve">Union interparlementaire (UIP), Programme des Nations Unies pour le développement (PNUD), Institut national démocratique (NDI), Parlement européen et Assemblée nationale française, </w:t>
      </w:r>
      <w:hyperlink r:id="rId43" w:history="1">
        <w:r w:rsidRPr="007D4673">
          <w:rPr>
            <w:rStyle w:val="Lienhypertexte"/>
            <w:i/>
            <w:sz w:val="20"/>
          </w:rPr>
          <w:t>Principes communs en matière d'assistance aux parlements</w:t>
        </w:r>
      </w:hyperlink>
      <w:r w:rsidRPr="007D4673">
        <w:rPr>
          <w:i/>
          <w:color w:val="000000"/>
          <w:sz w:val="20"/>
        </w:rPr>
        <w:t xml:space="preserve"> </w:t>
      </w:r>
      <w:r w:rsidRPr="007D4673">
        <w:rPr>
          <w:color w:val="000000"/>
          <w:sz w:val="20"/>
        </w:rPr>
        <w:t>(2014)</w:t>
      </w:r>
      <w:r w:rsidRPr="007D4673">
        <w:rPr>
          <w:sz w:val="20"/>
        </w:rPr>
        <w:t>.</w:t>
      </w:r>
    </w:p>
    <w:p w14:paraId="63FFE2F3" w14:textId="77777777" w:rsidR="000C4185" w:rsidRPr="007D4673" w:rsidRDefault="000C4185" w:rsidP="00471D59">
      <w:pPr>
        <w:spacing w:line="240" w:lineRule="auto"/>
        <w:rPr>
          <w:sz w:val="20"/>
          <w:szCs w:val="20"/>
        </w:rPr>
      </w:pPr>
    </w:p>
    <w:p w14:paraId="6AB268FB" w14:textId="77777777" w:rsidR="000C4185" w:rsidRPr="007D4673" w:rsidRDefault="000C4185" w:rsidP="00471D59">
      <w:pPr>
        <w:spacing w:line="240" w:lineRule="auto"/>
        <w:rPr>
          <w:sz w:val="20"/>
          <w:szCs w:val="20"/>
        </w:rPr>
      </w:pPr>
    </w:p>
    <w:p w14:paraId="597243D1" w14:textId="77777777" w:rsidR="000C4185" w:rsidRPr="007D4673" w:rsidRDefault="000C4185" w:rsidP="00471D59">
      <w:pPr>
        <w:spacing w:line="240" w:lineRule="auto"/>
        <w:rPr>
          <w:sz w:val="20"/>
          <w:szCs w:val="20"/>
        </w:rPr>
      </w:pPr>
    </w:p>
    <w:sectPr w:rsidR="000C4185" w:rsidRPr="007D4673" w:rsidSect="00251F6E">
      <w:headerReference w:type="default" r:id="rId44"/>
      <w:footerReference w:type="default" r:id="rId45"/>
      <w:headerReference w:type="first" r:id="rId46"/>
      <w:footerReference w:type="first" r:id="rId47"/>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D3CC9" w14:textId="77777777" w:rsidR="00CB4706" w:rsidRDefault="00CB4706">
      <w:pPr>
        <w:spacing w:line="240" w:lineRule="auto"/>
      </w:pPr>
      <w:r>
        <w:separator/>
      </w:r>
    </w:p>
  </w:endnote>
  <w:endnote w:type="continuationSeparator" w:id="0">
    <w:p w14:paraId="375D1FAE" w14:textId="77777777" w:rsidR="00CB4706" w:rsidRDefault="00CB47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1408622"/>
      <w:docPartObj>
        <w:docPartGallery w:val="Page Numbers (Bottom of Page)"/>
        <w:docPartUnique/>
      </w:docPartObj>
    </w:sdtPr>
    <w:sdtEndPr>
      <w:rPr>
        <w:noProof/>
        <w:sz w:val="20"/>
        <w:szCs w:val="20"/>
      </w:rPr>
    </w:sdtEndPr>
    <w:sdtContent>
      <w:p w14:paraId="7B985B19" w14:textId="400CB89A" w:rsidR="000C4185" w:rsidRPr="00251F6E" w:rsidRDefault="00251F6E" w:rsidP="00251F6E">
        <w:pPr>
          <w:pStyle w:val="Pieddepage"/>
          <w:jc w:val="right"/>
          <w:rPr>
            <w:sz w:val="20"/>
            <w:szCs w:val="20"/>
          </w:rPr>
        </w:pPr>
        <w:r w:rsidRPr="00251F6E">
          <w:rPr>
            <w:sz w:val="20"/>
            <w:szCs w:val="20"/>
          </w:rPr>
          <w:fldChar w:fldCharType="begin"/>
        </w:r>
        <w:r w:rsidRPr="00251F6E">
          <w:rPr>
            <w:sz w:val="20"/>
            <w:szCs w:val="20"/>
          </w:rPr>
          <w:instrText xml:space="preserve"> PAGE   \* MERGEFORMAT </w:instrText>
        </w:r>
        <w:r w:rsidRPr="00251F6E">
          <w:rPr>
            <w:sz w:val="20"/>
            <w:szCs w:val="20"/>
          </w:rPr>
          <w:fldChar w:fldCharType="separate"/>
        </w:r>
        <w:r w:rsidRPr="00251F6E">
          <w:rPr>
            <w:noProof/>
            <w:sz w:val="20"/>
            <w:szCs w:val="20"/>
          </w:rPr>
          <w:t>2</w:t>
        </w:r>
        <w:r w:rsidRPr="00251F6E">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66B0" w14:textId="77777777" w:rsidR="00251F6E" w:rsidRPr="007B30A2" w:rsidRDefault="00251F6E" w:rsidP="00251F6E">
    <w:pPr>
      <w:pStyle w:val="NormalWeb"/>
      <w:rPr>
        <w:rFonts w:ascii="Arial" w:hAnsi="Arial" w:cs="Arial"/>
        <w:sz w:val="20"/>
        <w:szCs w:val="20"/>
        <w:lang w:val="fr-CH"/>
      </w:rPr>
    </w:pPr>
    <w:bookmarkStart w:id="70" w:name="_Hlk148252797"/>
    <w:bookmarkStart w:id="71" w:name="_Hlk148252798"/>
    <w:bookmarkStart w:id="72" w:name="_Hlk148252849"/>
    <w:bookmarkStart w:id="73" w:name="_Hlk148252850"/>
    <w:bookmarkStart w:id="74" w:name="_Hlk148253108"/>
    <w:bookmarkStart w:id="75" w:name="_Hlk148253109"/>
    <w:bookmarkStart w:id="76" w:name="_Hlk148253284"/>
    <w:bookmarkStart w:id="77" w:name="_Hlk148253285"/>
    <w:bookmarkStart w:id="78" w:name="_Hlk148253380"/>
    <w:bookmarkStart w:id="79" w:name="_Hlk148253381"/>
    <w:r w:rsidRPr="007B30A2">
      <w:rPr>
        <w:rFonts w:ascii="Arial" w:hAnsi="Arial" w:cs="Arial"/>
        <w:sz w:val="20"/>
        <w:szCs w:val="20"/>
        <w:lang w:val="fr-CH"/>
      </w:rPr>
      <w:t>_______________</w:t>
    </w:r>
  </w:p>
  <w:p w14:paraId="5F8C618D" w14:textId="77777777" w:rsidR="00251F6E" w:rsidRPr="001C645E" w:rsidRDefault="00251F6E" w:rsidP="00251F6E">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w:t>
    </w:r>
    <w:proofErr w:type="spellStart"/>
    <w:r w:rsidRPr="001C645E">
      <w:rPr>
        <w:rFonts w:ascii="Arial" w:hAnsi="Arial" w:cs="Arial"/>
        <w:sz w:val="20"/>
        <w:szCs w:val="20"/>
      </w:rPr>
      <w:t>Directorio</w:t>
    </w:r>
    <w:proofErr w:type="spellEnd"/>
    <w:r w:rsidRPr="001C645E">
      <w:rPr>
        <w:rFonts w:ascii="Arial" w:hAnsi="Arial" w:cs="Arial"/>
        <w:sz w:val="20"/>
        <w:szCs w:val="20"/>
      </w:rPr>
      <w:t xml:space="preserve"> </w:t>
    </w:r>
    <w:proofErr w:type="spellStart"/>
    <w:r w:rsidRPr="001C645E">
      <w:rPr>
        <w:rFonts w:ascii="Arial" w:hAnsi="Arial" w:cs="Arial"/>
        <w:sz w:val="20"/>
        <w:szCs w:val="20"/>
      </w:rPr>
      <w:t>Legislativo</w:t>
    </w:r>
    <w:proofErr w:type="spellEnd"/>
    <w:r w:rsidRPr="001C645E">
      <w:rPr>
        <w:rFonts w:ascii="Arial" w:hAnsi="Arial" w:cs="Arial"/>
        <w:sz w:val="20"/>
        <w:szCs w:val="20"/>
      </w:rPr>
      <w:t xml:space="preserve">, Inter Pares/International IDEA, le National Democratic Institute (NDI), le Programme des Nations unies pour le développement (PNUD), ONU Femmes et la Westminster </w:t>
    </w:r>
    <w:proofErr w:type="spellStart"/>
    <w:r w:rsidRPr="001C645E">
      <w:rPr>
        <w:rFonts w:ascii="Arial" w:hAnsi="Arial" w:cs="Arial"/>
        <w:sz w:val="20"/>
        <w:szCs w:val="20"/>
      </w:rPr>
      <w:t>Foundation</w:t>
    </w:r>
    <w:proofErr w:type="spellEnd"/>
    <w:r w:rsidRPr="001C645E">
      <w:rPr>
        <w:rFonts w:ascii="Arial" w:hAnsi="Arial" w:cs="Arial"/>
        <w:sz w:val="20"/>
        <w:szCs w:val="20"/>
      </w:rPr>
      <w:t xml:space="preserve"> for </w:t>
    </w:r>
    <w:proofErr w:type="spellStart"/>
    <w:r w:rsidRPr="001C645E">
      <w:rPr>
        <w:rFonts w:ascii="Arial" w:hAnsi="Arial" w:cs="Arial"/>
        <w:sz w:val="20"/>
        <w:szCs w:val="20"/>
      </w:rPr>
      <w:t>Democracy</w:t>
    </w:r>
    <w:proofErr w:type="spellEnd"/>
    <w:r w:rsidRPr="001C645E">
      <w:rPr>
        <w:rFonts w:ascii="Arial" w:hAnsi="Arial" w:cs="Arial"/>
        <w:sz w:val="20"/>
        <w:szCs w:val="20"/>
      </w:rPr>
      <w:t xml:space="preserve"> (WFD). </w:t>
    </w:r>
  </w:p>
  <w:p w14:paraId="7459EFA8" w14:textId="78171C23" w:rsidR="00251F6E" w:rsidRPr="00251F6E" w:rsidRDefault="00251F6E" w:rsidP="00251F6E">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bookmarkEnd w:id="70"/>
    <w:bookmarkEnd w:id="71"/>
    <w:bookmarkEnd w:id="72"/>
    <w:bookmarkEnd w:id="73"/>
    <w:bookmarkEnd w:id="74"/>
    <w:bookmarkEnd w:id="75"/>
    <w:bookmarkEnd w:id="76"/>
    <w:bookmarkEnd w:id="77"/>
    <w:bookmarkEnd w:id="78"/>
    <w:bookmarkEnd w:id="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6B83" w14:textId="77777777" w:rsidR="00CB4706" w:rsidRDefault="00CB4706">
      <w:pPr>
        <w:spacing w:line="240" w:lineRule="auto"/>
      </w:pPr>
      <w:r>
        <w:separator/>
      </w:r>
    </w:p>
  </w:footnote>
  <w:footnote w:type="continuationSeparator" w:id="0">
    <w:p w14:paraId="2EFF38B5" w14:textId="77777777" w:rsidR="00CB4706" w:rsidRDefault="00CB47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B279" w14:textId="77777777" w:rsidR="00251F6E" w:rsidRPr="007B30A2" w:rsidRDefault="00251F6E" w:rsidP="00251F6E">
    <w:pPr>
      <w:pStyle w:val="En-tte"/>
      <w:rPr>
        <w:b/>
        <w:bCs/>
        <w:lang w:val="fr-CH"/>
      </w:rPr>
    </w:pPr>
    <w:bookmarkStart w:id="41" w:name="_Hlk146872618"/>
    <w:bookmarkStart w:id="42" w:name="_Hlk148252784"/>
    <w:bookmarkStart w:id="43" w:name="_Hlk148252785"/>
    <w:bookmarkStart w:id="44" w:name="_Hlk148252869"/>
    <w:bookmarkStart w:id="45" w:name="_Hlk148252870"/>
    <w:bookmarkStart w:id="46" w:name="_Hlk148252876"/>
    <w:bookmarkStart w:id="47" w:name="_Hlk148252877"/>
    <w:bookmarkStart w:id="48" w:name="_Hlk148252878"/>
    <w:bookmarkStart w:id="49" w:name="_Hlk148252879"/>
    <w:bookmarkStart w:id="50" w:name="_Hlk148252880"/>
    <w:bookmarkStart w:id="51" w:name="_Hlk148252881"/>
    <w:bookmarkStart w:id="52" w:name="_Hlk148252882"/>
    <w:bookmarkStart w:id="53" w:name="_Hlk148252883"/>
    <w:bookmarkStart w:id="54" w:name="_Hlk148252884"/>
    <w:bookmarkStart w:id="55" w:name="_Hlk148252885"/>
    <w:bookmarkStart w:id="56" w:name="_Hlk148252886"/>
    <w:bookmarkStart w:id="57" w:name="_Hlk148252887"/>
    <w:bookmarkStart w:id="58" w:name="_Hlk148252888"/>
    <w:bookmarkStart w:id="59" w:name="_Hlk148252889"/>
    <w:bookmarkStart w:id="60" w:name="_Hlk148252899"/>
    <w:bookmarkStart w:id="61" w:name="_Hlk148252900"/>
    <w:bookmarkStart w:id="62" w:name="_Hlk148252901"/>
    <w:bookmarkStart w:id="63" w:name="_Hlk148252902"/>
    <w:bookmarkStart w:id="64" w:name="_Hlk148253093"/>
    <w:bookmarkStart w:id="65" w:name="_Hlk148253094"/>
    <w:r w:rsidRPr="007B30A2">
      <w:rPr>
        <w:b/>
        <w:bCs/>
        <w:sz w:val="20"/>
        <w:szCs w:val="20"/>
      </w:rPr>
      <w:t>Indicateurs pour des parlements démocratiques</w:t>
    </w:r>
    <w:r w:rsidRPr="007B30A2">
      <w:rPr>
        <w:b/>
        <w:bCs/>
        <w:sz w:val="20"/>
        <w:szCs w:val="20"/>
        <w:lang w:val="fr-CH"/>
      </w:rPr>
      <w:tab/>
      <w:t>www.parliamentaryindicators.org</w:t>
    </w:r>
    <w:bookmarkEnd w:id="41"/>
  </w:p>
  <w:p w14:paraId="32AD7FBC" w14:textId="77777777" w:rsidR="00251F6E" w:rsidRDefault="00251F6E" w:rsidP="00251F6E">
    <w:pPr>
      <w:pStyle w:val="En-tte"/>
      <w:rPr>
        <w:lang w:val="en-US"/>
      </w:rPr>
    </w:pPr>
    <w:r>
      <w:rPr>
        <w:sz w:val="20"/>
        <w:szCs w:val="20"/>
        <w:lang w:val="en-US"/>
      </w:rPr>
      <w:t>_________________________________________________________________________________</w:t>
    </w:r>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14:paraId="0402EF1C" w14:textId="790DB7A2" w:rsidR="000C4185" w:rsidRPr="00251F6E" w:rsidRDefault="000C4185" w:rsidP="00251F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2334" w14:textId="77777777" w:rsidR="00251F6E" w:rsidRDefault="00251F6E" w:rsidP="00251F6E">
    <w:pPr>
      <w:pStyle w:val="En-tte"/>
    </w:pPr>
    <w:bookmarkStart w:id="66" w:name="_Hlk148252769"/>
    <w:bookmarkStart w:id="67" w:name="_Hlk148252770"/>
    <w:bookmarkStart w:id="68" w:name="_Hlk148252862"/>
    <w:bookmarkStart w:id="69" w:name="_Hlk148252863"/>
    <w:r>
      <w:rPr>
        <w:noProof/>
      </w:rPr>
      <w:drawing>
        <wp:inline distT="0" distB="0" distL="0" distR="0" wp14:anchorId="7B997492" wp14:editId="4919F582">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5BD453A3" w14:textId="77777777" w:rsidR="00251F6E" w:rsidRDefault="00251F6E" w:rsidP="00251F6E">
    <w:pPr>
      <w:pStyle w:val="En-tte"/>
    </w:pPr>
  </w:p>
  <w:bookmarkEnd w:id="66"/>
  <w:bookmarkEnd w:id="67"/>
  <w:bookmarkEnd w:id="68"/>
  <w:bookmarkEnd w:id="69"/>
  <w:p w14:paraId="066FCA45" w14:textId="77777777" w:rsidR="00251F6E" w:rsidRDefault="00251F6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47"/>
    <w:multiLevelType w:val="multilevel"/>
    <w:tmpl w:val="30BE7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C1630A"/>
    <w:multiLevelType w:val="multilevel"/>
    <w:tmpl w:val="99EC61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222647"/>
    <w:multiLevelType w:val="multilevel"/>
    <w:tmpl w:val="7B481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AE3E94"/>
    <w:multiLevelType w:val="hybridMultilevel"/>
    <w:tmpl w:val="3C1E972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C02D1B"/>
    <w:multiLevelType w:val="multilevel"/>
    <w:tmpl w:val="51E2B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B11383A"/>
    <w:multiLevelType w:val="multilevel"/>
    <w:tmpl w:val="7076DD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E019A5"/>
    <w:multiLevelType w:val="multilevel"/>
    <w:tmpl w:val="002C0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35127F"/>
    <w:multiLevelType w:val="hybridMultilevel"/>
    <w:tmpl w:val="AD7E6A2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D6562AD"/>
    <w:multiLevelType w:val="multilevel"/>
    <w:tmpl w:val="9530C7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EC0050"/>
    <w:multiLevelType w:val="multilevel"/>
    <w:tmpl w:val="6A1061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E04037"/>
    <w:multiLevelType w:val="multilevel"/>
    <w:tmpl w:val="7A12A652"/>
    <w:lvl w:ilvl="0">
      <w:start w:val="1"/>
      <w:numFmt w:val="bullet"/>
      <w:lvlText w:val="●"/>
      <w:lvlJc w:val="left"/>
      <w:pPr>
        <w:ind w:left="1440" w:hanging="720"/>
      </w:pPr>
      <w:rPr>
        <w:rFonts w:ascii="Noto Sans Symbols" w:eastAsia="Noto Sans Symbols" w:hAnsi="Noto Sans Symbols" w:cs="Noto Sans Symbols"/>
      </w:rPr>
    </w:lvl>
    <w:lvl w:ilvl="1">
      <w:start w:val="1"/>
      <w:numFmt w:val="decimal"/>
      <w:lvlText w:val="%2."/>
      <w:lvlJc w:val="left"/>
      <w:pPr>
        <w:ind w:left="2160" w:hanging="720"/>
      </w:pPr>
    </w:lvl>
    <w:lvl w:ilvl="2">
      <w:start w:val="1"/>
      <w:numFmt w:val="decimal"/>
      <w:lvlText w:val="%3."/>
      <w:lvlJc w:val="left"/>
      <w:pPr>
        <w:ind w:left="2880" w:hanging="720"/>
      </w:pPr>
    </w:lvl>
    <w:lvl w:ilvl="3">
      <w:start w:val="1"/>
      <w:numFmt w:val="decimal"/>
      <w:lvlText w:val="%4."/>
      <w:lvlJc w:val="left"/>
      <w:pPr>
        <w:ind w:left="3600" w:hanging="720"/>
      </w:pPr>
    </w:lvl>
    <w:lvl w:ilvl="4">
      <w:start w:val="1"/>
      <w:numFmt w:val="decimal"/>
      <w:lvlText w:val="%5."/>
      <w:lvlJc w:val="left"/>
      <w:pPr>
        <w:ind w:left="4320" w:hanging="720"/>
      </w:pPr>
    </w:lvl>
    <w:lvl w:ilvl="5">
      <w:start w:val="1"/>
      <w:numFmt w:val="decimal"/>
      <w:lvlText w:val="%6."/>
      <w:lvlJc w:val="left"/>
      <w:pPr>
        <w:ind w:left="5040" w:hanging="720"/>
      </w:pPr>
    </w:lvl>
    <w:lvl w:ilvl="6">
      <w:start w:val="1"/>
      <w:numFmt w:val="decimal"/>
      <w:lvlText w:val="%7."/>
      <w:lvlJc w:val="left"/>
      <w:pPr>
        <w:ind w:left="5760" w:hanging="720"/>
      </w:pPr>
    </w:lvl>
    <w:lvl w:ilvl="7">
      <w:start w:val="1"/>
      <w:numFmt w:val="decimal"/>
      <w:lvlText w:val="%8."/>
      <w:lvlJc w:val="left"/>
      <w:pPr>
        <w:ind w:left="6480" w:hanging="720"/>
      </w:pPr>
    </w:lvl>
    <w:lvl w:ilvl="8">
      <w:start w:val="1"/>
      <w:numFmt w:val="decimal"/>
      <w:lvlText w:val="%9."/>
      <w:lvlJc w:val="left"/>
      <w:pPr>
        <w:ind w:left="7200" w:hanging="720"/>
      </w:pPr>
    </w:lvl>
  </w:abstractNum>
  <w:abstractNum w:abstractNumId="11" w15:restartNumberingAfterBreak="0">
    <w:nsid w:val="266933C2"/>
    <w:multiLevelType w:val="hybridMultilevel"/>
    <w:tmpl w:val="9AC8590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EDA1D7F"/>
    <w:multiLevelType w:val="multilevel"/>
    <w:tmpl w:val="A734F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DE2D0B"/>
    <w:multiLevelType w:val="multilevel"/>
    <w:tmpl w:val="945C0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A54BF5"/>
    <w:multiLevelType w:val="multilevel"/>
    <w:tmpl w:val="5394CE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653A3F"/>
    <w:multiLevelType w:val="multilevel"/>
    <w:tmpl w:val="66DEC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5664388"/>
    <w:multiLevelType w:val="multilevel"/>
    <w:tmpl w:val="038ED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9897E66"/>
    <w:multiLevelType w:val="hybridMultilevel"/>
    <w:tmpl w:val="B790BE1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B9802C8"/>
    <w:multiLevelType w:val="multilevel"/>
    <w:tmpl w:val="C87CB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CDF66A7"/>
    <w:multiLevelType w:val="multilevel"/>
    <w:tmpl w:val="A552C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C74203"/>
    <w:multiLevelType w:val="multilevel"/>
    <w:tmpl w:val="4AA06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F141748"/>
    <w:multiLevelType w:val="multilevel"/>
    <w:tmpl w:val="D20A5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42804C5"/>
    <w:multiLevelType w:val="multilevel"/>
    <w:tmpl w:val="311C7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F5786A"/>
    <w:multiLevelType w:val="multilevel"/>
    <w:tmpl w:val="92903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92603ED"/>
    <w:multiLevelType w:val="multilevel"/>
    <w:tmpl w:val="9514B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ABE1A40"/>
    <w:multiLevelType w:val="multilevel"/>
    <w:tmpl w:val="9BA23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804668C"/>
    <w:multiLevelType w:val="multilevel"/>
    <w:tmpl w:val="CD1E9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4A61D0"/>
    <w:multiLevelType w:val="multilevel"/>
    <w:tmpl w:val="88EC3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DC22DCE"/>
    <w:multiLevelType w:val="multilevel"/>
    <w:tmpl w:val="EF16D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1374720"/>
    <w:multiLevelType w:val="multilevel"/>
    <w:tmpl w:val="BDCA7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77297E"/>
    <w:multiLevelType w:val="hybridMultilevel"/>
    <w:tmpl w:val="F99A114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9065CF9"/>
    <w:multiLevelType w:val="multilevel"/>
    <w:tmpl w:val="0D9C7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172138"/>
    <w:multiLevelType w:val="multilevel"/>
    <w:tmpl w:val="0D88989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3" w15:restartNumberingAfterBreak="0">
    <w:nsid w:val="718E324C"/>
    <w:multiLevelType w:val="multilevel"/>
    <w:tmpl w:val="85EC4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1EF24E2"/>
    <w:multiLevelType w:val="multilevel"/>
    <w:tmpl w:val="7D00D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26850C0"/>
    <w:multiLevelType w:val="multilevel"/>
    <w:tmpl w:val="423C7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5B86083"/>
    <w:multiLevelType w:val="hybridMultilevel"/>
    <w:tmpl w:val="AE687C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A3C73"/>
    <w:multiLevelType w:val="multilevel"/>
    <w:tmpl w:val="76EA6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52457729">
    <w:abstractNumId w:val="29"/>
  </w:num>
  <w:num w:numId="2" w16cid:durableId="1762293062">
    <w:abstractNumId w:val="28"/>
  </w:num>
  <w:num w:numId="3" w16cid:durableId="1346443114">
    <w:abstractNumId w:val="10"/>
  </w:num>
  <w:num w:numId="4" w16cid:durableId="1632975749">
    <w:abstractNumId w:val="5"/>
  </w:num>
  <w:num w:numId="5" w16cid:durableId="783236332">
    <w:abstractNumId w:val="13"/>
  </w:num>
  <w:num w:numId="6" w16cid:durableId="1964846847">
    <w:abstractNumId w:val="34"/>
  </w:num>
  <w:num w:numId="7" w16cid:durableId="512453057">
    <w:abstractNumId w:val="32"/>
  </w:num>
  <w:num w:numId="8" w16cid:durableId="1484272118">
    <w:abstractNumId w:val="3"/>
  </w:num>
  <w:num w:numId="9" w16cid:durableId="1669822865">
    <w:abstractNumId w:val="31"/>
  </w:num>
  <w:num w:numId="10" w16cid:durableId="814203">
    <w:abstractNumId w:val="8"/>
  </w:num>
  <w:num w:numId="11" w16cid:durableId="1844932560">
    <w:abstractNumId w:val="9"/>
  </w:num>
  <w:num w:numId="12" w16cid:durableId="1552620492">
    <w:abstractNumId w:val="4"/>
  </w:num>
  <w:num w:numId="13" w16cid:durableId="430246703">
    <w:abstractNumId w:val="21"/>
  </w:num>
  <w:num w:numId="14" w16cid:durableId="1061637659">
    <w:abstractNumId w:val="20"/>
  </w:num>
  <w:num w:numId="15" w16cid:durableId="724598693">
    <w:abstractNumId w:val="16"/>
  </w:num>
  <w:num w:numId="16" w16cid:durableId="687105168">
    <w:abstractNumId w:val="22"/>
  </w:num>
  <w:num w:numId="17" w16cid:durableId="966620069">
    <w:abstractNumId w:val="27"/>
  </w:num>
  <w:num w:numId="18" w16cid:durableId="1647273134">
    <w:abstractNumId w:val="15"/>
  </w:num>
  <w:num w:numId="19" w16cid:durableId="960308512">
    <w:abstractNumId w:val="12"/>
  </w:num>
  <w:num w:numId="20" w16cid:durableId="1714816394">
    <w:abstractNumId w:val="19"/>
  </w:num>
  <w:num w:numId="21" w16cid:durableId="735712998">
    <w:abstractNumId w:val="26"/>
  </w:num>
  <w:num w:numId="22" w16cid:durableId="810832839">
    <w:abstractNumId w:val="23"/>
  </w:num>
  <w:num w:numId="23" w16cid:durableId="1255629783">
    <w:abstractNumId w:val="37"/>
  </w:num>
  <w:num w:numId="24" w16cid:durableId="240069450">
    <w:abstractNumId w:val="2"/>
  </w:num>
  <w:num w:numId="25" w16cid:durableId="1968272395">
    <w:abstractNumId w:val="1"/>
  </w:num>
  <w:num w:numId="26" w16cid:durableId="482505212">
    <w:abstractNumId w:val="14"/>
  </w:num>
  <w:num w:numId="27" w16cid:durableId="376897689">
    <w:abstractNumId w:val="18"/>
  </w:num>
  <w:num w:numId="28" w16cid:durableId="525288477">
    <w:abstractNumId w:val="33"/>
  </w:num>
  <w:num w:numId="29" w16cid:durableId="1400206471">
    <w:abstractNumId w:val="24"/>
  </w:num>
  <w:num w:numId="30" w16cid:durableId="1032459285">
    <w:abstractNumId w:val="6"/>
  </w:num>
  <w:num w:numId="31" w16cid:durableId="273442738">
    <w:abstractNumId w:val="35"/>
  </w:num>
  <w:num w:numId="32" w16cid:durableId="1977906275">
    <w:abstractNumId w:val="25"/>
  </w:num>
  <w:num w:numId="33" w16cid:durableId="1478064249">
    <w:abstractNumId w:val="0"/>
  </w:num>
  <w:num w:numId="34" w16cid:durableId="2147309888">
    <w:abstractNumId w:val="36"/>
  </w:num>
  <w:num w:numId="35" w16cid:durableId="858546574">
    <w:abstractNumId w:val="17"/>
  </w:num>
  <w:num w:numId="36" w16cid:durableId="1612779816">
    <w:abstractNumId w:val="11"/>
  </w:num>
  <w:num w:numId="37" w16cid:durableId="1863201248">
    <w:abstractNumId w:val="7"/>
  </w:num>
  <w:num w:numId="38" w16cid:durableId="3096037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B7"/>
    <w:rsid w:val="00064905"/>
    <w:rsid w:val="00081D8D"/>
    <w:rsid w:val="000C4185"/>
    <w:rsid w:val="000E3ACD"/>
    <w:rsid w:val="000F38D2"/>
    <w:rsid w:val="00133E2A"/>
    <w:rsid w:val="001E3DEE"/>
    <w:rsid w:val="001E4492"/>
    <w:rsid w:val="00237E43"/>
    <w:rsid w:val="00251F6E"/>
    <w:rsid w:val="00282497"/>
    <w:rsid w:val="00295CBA"/>
    <w:rsid w:val="002C1D48"/>
    <w:rsid w:val="002E1142"/>
    <w:rsid w:val="003401DF"/>
    <w:rsid w:val="00361E5E"/>
    <w:rsid w:val="003D44EF"/>
    <w:rsid w:val="003F6CE5"/>
    <w:rsid w:val="004C56C1"/>
    <w:rsid w:val="004D0A93"/>
    <w:rsid w:val="004F6763"/>
    <w:rsid w:val="00505F9B"/>
    <w:rsid w:val="0054665A"/>
    <w:rsid w:val="005B2CA3"/>
    <w:rsid w:val="005C2BAA"/>
    <w:rsid w:val="005E4C4B"/>
    <w:rsid w:val="006A5451"/>
    <w:rsid w:val="006F2799"/>
    <w:rsid w:val="00730497"/>
    <w:rsid w:val="00732FC8"/>
    <w:rsid w:val="007D4673"/>
    <w:rsid w:val="00800F6F"/>
    <w:rsid w:val="00867777"/>
    <w:rsid w:val="008B31CA"/>
    <w:rsid w:val="008E15A2"/>
    <w:rsid w:val="0095196A"/>
    <w:rsid w:val="00A02D57"/>
    <w:rsid w:val="00A37A8C"/>
    <w:rsid w:val="00A53776"/>
    <w:rsid w:val="00A66544"/>
    <w:rsid w:val="00A7695F"/>
    <w:rsid w:val="00AF0B1F"/>
    <w:rsid w:val="00B34D30"/>
    <w:rsid w:val="00B54F55"/>
    <w:rsid w:val="00C016AF"/>
    <w:rsid w:val="00C80C84"/>
    <w:rsid w:val="00CB4706"/>
    <w:rsid w:val="00D34ABE"/>
    <w:rsid w:val="00D6496C"/>
    <w:rsid w:val="00D93567"/>
    <w:rsid w:val="00DA7BE8"/>
    <w:rsid w:val="00E536C5"/>
    <w:rsid w:val="00EA6777"/>
    <w:rsid w:val="00EC71D6"/>
    <w:rsid w:val="00ED2699"/>
    <w:rsid w:val="00F23560"/>
    <w:rsid w:val="00F30DB7"/>
    <w:rsid w:val="00FA5090"/>
    <w:rsid w:val="00FC500B"/>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F0AD"/>
  <w15:docId w15:val="{4BBCE898-2399-47FA-BD3D-64AFB371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1D59"/>
    <w:pPr>
      <w:spacing w:line="276" w:lineRule="auto"/>
    </w:pPr>
    <w:rPr>
      <w:sz w:val="22"/>
      <w:szCs w:val="22"/>
    </w:rPr>
  </w:style>
  <w:style w:type="paragraph" w:styleId="Titre1">
    <w:name w:val="heading 1"/>
    <w:basedOn w:val="Normal"/>
    <w:next w:val="Normal"/>
    <w:link w:val="Titre1Car"/>
    <w:pPr>
      <w:keepNext/>
      <w:keepLines/>
      <w:spacing w:before="400" w:after="120"/>
      <w:outlineLvl w:val="0"/>
    </w:pPr>
    <w:rPr>
      <w:sz w:val="40"/>
      <w:szCs w:val="40"/>
    </w:rPr>
  </w:style>
  <w:style w:type="paragraph" w:styleId="Titre2">
    <w:name w:val="heading 2"/>
    <w:basedOn w:val="Normal"/>
    <w:next w:val="Normal"/>
    <w:link w:val="Titre2Car"/>
    <w:autoRedefine/>
    <w:qFormat/>
    <w:rsid w:val="00D20D38"/>
    <w:pPr>
      <w:pageBreakBefore/>
      <w:spacing w:before="200" w:after="240" w:line="240" w:lineRule="auto"/>
      <w:outlineLvl w:val="1"/>
    </w:pPr>
    <w:rPr>
      <w:b/>
      <w:color w:val="00AABE"/>
      <w:sz w:val="28"/>
      <w:szCs w:val="28"/>
    </w:rPr>
  </w:style>
  <w:style w:type="paragraph" w:styleId="Titre3">
    <w:name w:val="heading 3"/>
    <w:basedOn w:val="Normal"/>
    <w:next w:val="Normal"/>
    <w:link w:val="Titre3Car"/>
    <w:autoRedefine/>
    <w:qFormat/>
    <w:rsid w:val="00635CA7"/>
    <w:pPr>
      <w:keepNext/>
      <w:keepLines/>
      <w:pageBreakBefore/>
      <w:spacing w:before="280" w:after="200" w:line="240" w:lineRule="auto"/>
      <w:outlineLvl w:val="2"/>
    </w:pPr>
    <w:rPr>
      <w:b/>
      <w:color w:val="005F9A"/>
      <w:sz w:val="24"/>
      <w:szCs w:val="28"/>
    </w:rPr>
  </w:style>
  <w:style w:type="paragraph" w:styleId="Titre4">
    <w:name w:val="heading 4"/>
    <w:basedOn w:val="Normal"/>
    <w:next w:val="Normal"/>
    <w:link w:val="Titre4Car"/>
    <w:autoRedefine/>
    <w:qFormat/>
    <w:rsid w:val="00D20D38"/>
    <w:pPr>
      <w:keepNext/>
      <w:keepLines/>
      <w:tabs>
        <w:tab w:val="left" w:pos="8100"/>
      </w:tabs>
      <w:spacing w:before="200" w:after="120" w:line="240" w:lineRule="auto"/>
      <w:outlineLvl w:val="3"/>
    </w:pPr>
    <w:rPr>
      <w:b/>
      <w:sz w:val="20"/>
      <w:szCs w:val="24"/>
    </w:rPr>
  </w:style>
  <w:style w:type="paragraph" w:styleId="Titre5">
    <w:name w:val="heading 5"/>
    <w:basedOn w:val="Normal"/>
    <w:next w:val="Normal"/>
    <w:link w:val="Titre5Car"/>
    <w:pPr>
      <w:keepNext/>
      <w:keepLines/>
      <w:spacing w:before="240" w:after="80"/>
      <w:outlineLvl w:val="4"/>
    </w:pPr>
    <w:rPr>
      <w:color w:val="666666"/>
    </w:rPr>
  </w:style>
  <w:style w:type="paragraph" w:styleId="Titre6">
    <w:name w:val="heading 6"/>
    <w:basedOn w:val="Normal"/>
    <w:next w:val="Normal"/>
    <w:link w:val="Titre6Car"/>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pPr>
      <w:keepNext/>
      <w:keepLines/>
      <w:spacing w:after="60"/>
    </w:pPr>
    <w:rPr>
      <w:sz w:val="52"/>
      <w:szCs w:val="52"/>
    </w:rPr>
  </w:style>
  <w:style w:type="paragraph" w:styleId="Sous-titre">
    <w:name w:val="Subtitle"/>
    <w:basedOn w:val="Normal"/>
    <w:next w:val="Normal"/>
    <w:link w:val="Sous-titreCar"/>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paragraph" w:styleId="En-tte">
    <w:name w:val="header"/>
    <w:basedOn w:val="Normal"/>
    <w:link w:val="En-tteCar"/>
    <w:uiPriority w:val="99"/>
    <w:unhideWhenUsed/>
    <w:rsid w:val="008E1474"/>
    <w:pPr>
      <w:tabs>
        <w:tab w:val="center" w:pos="4513"/>
        <w:tab w:val="right" w:pos="9026"/>
      </w:tabs>
      <w:spacing w:line="240" w:lineRule="auto"/>
    </w:pPr>
  </w:style>
  <w:style w:type="character" w:customStyle="1" w:styleId="En-tteCar">
    <w:name w:val="En-tête Car"/>
    <w:basedOn w:val="Policepardfaut"/>
    <w:link w:val="En-tte"/>
    <w:uiPriority w:val="99"/>
    <w:rsid w:val="008E1474"/>
  </w:style>
  <w:style w:type="paragraph" w:styleId="Pieddepage">
    <w:name w:val="footer"/>
    <w:basedOn w:val="Normal"/>
    <w:link w:val="PieddepageCar"/>
    <w:uiPriority w:val="99"/>
    <w:unhideWhenUsed/>
    <w:rsid w:val="008E1474"/>
    <w:pPr>
      <w:tabs>
        <w:tab w:val="center" w:pos="4513"/>
        <w:tab w:val="right" w:pos="9026"/>
      </w:tabs>
      <w:spacing w:line="240" w:lineRule="auto"/>
    </w:pPr>
  </w:style>
  <w:style w:type="character" w:customStyle="1" w:styleId="PieddepageCar">
    <w:name w:val="Pied de page Car"/>
    <w:basedOn w:val="Policepardfaut"/>
    <w:link w:val="Pieddepage"/>
    <w:uiPriority w:val="99"/>
    <w:rsid w:val="008E1474"/>
  </w:style>
  <w:style w:type="paragraph" w:customStyle="1" w:styleId="section-title">
    <w:name w:val="section-title"/>
    <w:basedOn w:val="Normal"/>
    <w:link w:val="section-titleChar"/>
    <w:autoRedefine/>
    <w:qFormat/>
    <w:rsid w:val="00800F6F"/>
    <w:pPr>
      <w:keepNext/>
      <w:spacing w:before="200" w:after="200" w:line="240" w:lineRule="auto"/>
      <w:contextualSpacing/>
    </w:pPr>
    <w:rPr>
      <w:b/>
      <w:lang w:val="fr-CH" w:eastAsia="fr-CH"/>
    </w:rPr>
  </w:style>
  <w:style w:type="character" w:customStyle="1" w:styleId="section-titleChar">
    <w:name w:val="section-title Char"/>
    <w:link w:val="section-title"/>
    <w:rsid w:val="00800F6F"/>
    <w:rPr>
      <w:b/>
      <w:sz w:val="22"/>
      <w:szCs w:val="22"/>
      <w:lang w:val="fr-CH" w:eastAsia="fr-CH"/>
    </w:rPr>
  </w:style>
  <w:style w:type="paragraph" w:styleId="Paragraphedeliste">
    <w:name w:val="List Paragraph"/>
    <w:basedOn w:val="Normal"/>
    <w:uiPriority w:val="34"/>
    <w:qFormat/>
    <w:rsid w:val="001545ED"/>
    <w:pPr>
      <w:ind w:left="720"/>
      <w:contextualSpacing/>
    </w:pPr>
  </w:style>
  <w:style w:type="table" w:styleId="Grilledutableau">
    <w:name w:val="Table Grid"/>
    <w:basedOn w:val="TableauNormal"/>
    <w:uiPriority w:val="39"/>
    <w:rsid w:val="001545ED"/>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40089F"/>
    <w:rPr>
      <w:sz w:val="40"/>
      <w:szCs w:val="40"/>
      <w:lang w:val="fr-FR" w:eastAsia="fr-FR"/>
    </w:rPr>
  </w:style>
  <w:style w:type="character" w:customStyle="1" w:styleId="Titre2Car">
    <w:name w:val="Titre 2 Car"/>
    <w:link w:val="Titre2"/>
    <w:rsid w:val="00D20D38"/>
    <w:rPr>
      <w:b/>
      <w:color w:val="00AABE"/>
      <w:sz w:val="28"/>
      <w:szCs w:val="28"/>
      <w:lang w:val="fr-FR" w:eastAsia="fr-FR"/>
    </w:rPr>
  </w:style>
  <w:style w:type="character" w:customStyle="1" w:styleId="Titre3Car">
    <w:name w:val="Titre 3 Car"/>
    <w:link w:val="Titre3"/>
    <w:rsid w:val="00635CA7"/>
    <w:rPr>
      <w:b/>
      <w:color w:val="005F9A"/>
      <w:sz w:val="24"/>
      <w:szCs w:val="28"/>
      <w:lang w:val="fr-FR" w:eastAsia="fr-FR"/>
    </w:rPr>
  </w:style>
  <w:style w:type="character" w:customStyle="1" w:styleId="Titre4Car">
    <w:name w:val="Titre 4 Car"/>
    <w:link w:val="Titre4"/>
    <w:rsid w:val="00D20D38"/>
    <w:rPr>
      <w:b/>
      <w:sz w:val="20"/>
      <w:szCs w:val="24"/>
      <w:lang w:val="fr-FR" w:eastAsia="fr-FR"/>
    </w:rPr>
  </w:style>
  <w:style w:type="character" w:customStyle="1" w:styleId="Titre5Car">
    <w:name w:val="Titre 5 Car"/>
    <w:link w:val="Titre5"/>
    <w:rsid w:val="0040089F"/>
    <w:rPr>
      <w:color w:val="666666"/>
      <w:lang w:val="fr-FR" w:eastAsia="fr-FR"/>
    </w:rPr>
  </w:style>
  <w:style w:type="character" w:customStyle="1" w:styleId="Titre6Car">
    <w:name w:val="Titre 6 Car"/>
    <w:link w:val="Titre6"/>
    <w:rsid w:val="0040089F"/>
    <w:rPr>
      <w:i/>
      <w:color w:val="666666"/>
      <w:lang w:val="fr-FR" w:eastAsia="fr-FR"/>
    </w:rPr>
  </w:style>
  <w:style w:type="character" w:customStyle="1" w:styleId="TitreCar">
    <w:name w:val="Titre Car"/>
    <w:link w:val="Titre"/>
    <w:rsid w:val="0040089F"/>
    <w:rPr>
      <w:sz w:val="52"/>
      <w:szCs w:val="52"/>
      <w:lang w:val="fr-FR" w:eastAsia="fr-FR"/>
    </w:rPr>
  </w:style>
  <w:style w:type="character" w:customStyle="1" w:styleId="Sous-titreCar">
    <w:name w:val="Sous-titre Car"/>
    <w:link w:val="Sous-titre"/>
    <w:rsid w:val="0040089F"/>
    <w:rPr>
      <w:color w:val="666666"/>
      <w:sz w:val="30"/>
      <w:szCs w:val="30"/>
      <w:lang w:val="fr-FR" w:eastAsia="fr-FR"/>
    </w:rPr>
  </w:style>
  <w:style w:type="paragraph" w:styleId="Commentaire">
    <w:name w:val="annotation text"/>
    <w:basedOn w:val="Normal"/>
    <w:link w:val="CommentaireCar"/>
    <w:uiPriority w:val="99"/>
    <w:unhideWhenUsed/>
    <w:rsid w:val="0040089F"/>
    <w:pPr>
      <w:spacing w:line="240" w:lineRule="auto"/>
    </w:pPr>
    <w:rPr>
      <w:sz w:val="20"/>
      <w:szCs w:val="20"/>
    </w:rPr>
  </w:style>
  <w:style w:type="character" w:customStyle="1" w:styleId="CommentaireCar">
    <w:name w:val="Commentaire Car"/>
    <w:link w:val="Commentaire"/>
    <w:uiPriority w:val="99"/>
    <w:rsid w:val="0040089F"/>
    <w:rPr>
      <w:sz w:val="20"/>
      <w:szCs w:val="20"/>
      <w:lang w:val="fr-FR" w:eastAsia="fr-FR"/>
    </w:rPr>
  </w:style>
  <w:style w:type="character" w:styleId="Marquedecommentaire">
    <w:name w:val="annotation reference"/>
    <w:uiPriority w:val="99"/>
    <w:semiHidden/>
    <w:unhideWhenUsed/>
    <w:rsid w:val="0040089F"/>
    <w:rPr>
      <w:sz w:val="16"/>
      <w:szCs w:val="16"/>
      <w:lang w:val="fr-FR" w:eastAsia="fr-FR"/>
    </w:rPr>
  </w:style>
  <w:style w:type="paragraph" w:styleId="Textedebulles">
    <w:name w:val="Balloon Text"/>
    <w:basedOn w:val="Normal"/>
    <w:link w:val="TextedebullesCar"/>
    <w:uiPriority w:val="99"/>
    <w:semiHidden/>
    <w:unhideWhenUsed/>
    <w:rsid w:val="0040089F"/>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40089F"/>
    <w:rPr>
      <w:rFonts w:ascii="Segoe UI" w:hAnsi="Segoe UI" w:cs="Segoe UI"/>
      <w:sz w:val="18"/>
      <w:szCs w:val="18"/>
      <w:lang w:val="fr-FR" w:eastAsia="fr-FR"/>
    </w:rPr>
  </w:style>
  <w:style w:type="paragraph" w:styleId="Objetducommentaire">
    <w:name w:val="annotation subject"/>
    <w:basedOn w:val="Commentaire"/>
    <w:next w:val="Commentaire"/>
    <w:link w:val="ObjetducommentaireCar"/>
    <w:uiPriority w:val="99"/>
    <w:semiHidden/>
    <w:unhideWhenUsed/>
    <w:rsid w:val="0040089F"/>
    <w:rPr>
      <w:b/>
      <w:bCs/>
    </w:rPr>
  </w:style>
  <w:style w:type="character" w:customStyle="1" w:styleId="ObjetducommentaireCar">
    <w:name w:val="Objet du commentaire Car"/>
    <w:link w:val="Objetducommentaire"/>
    <w:uiPriority w:val="99"/>
    <w:semiHidden/>
    <w:rsid w:val="0040089F"/>
    <w:rPr>
      <w:b/>
      <w:bCs/>
      <w:sz w:val="20"/>
      <w:szCs w:val="20"/>
      <w:lang w:val="fr-FR" w:eastAsia="fr-FR"/>
    </w:rPr>
  </w:style>
  <w:style w:type="character" w:styleId="Lienhypertexte">
    <w:name w:val="Hyperlink"/>
    <w:uiPriority w:val="99"/>
    <w:unhideWhenUsed/>
    <w:rsid w:val="0040089F"/>
    <w:rPr>
      <w:color w:val="0000FF"/>
      <w:u w:val="single"/>
      <w:lang w:val="fr-FR" w:eastAsia="fr-FR"/>
    </w:rPr>
  </w:style>
  <w:style w:type="character" w:styleId="Lienhypertextesuivivisit">
    <w:name w:val="FollowedHyperlink"/>
    <w:uiPriority w:val="99"/>
    <w:semiHidden/>
    <w:unhideWhenUsed/>
    <w:rsid w:val="0040089F"/>
    <w:rPr>
      <w:color w:val="800080"/>
      <w:u w:val="single"/>
      <w:lang w:val="fr-FR" w:eastAsia="fr-FR"/>
    </w:rPr>
  </w:style>
  <w:style w:type="paragraph" w:styleId="NormalWeb">
    <w:name w:val="Normal (Web)"/>
    <w:basedOn w:val="Normal"/>
    <w:uiPriority w:val="99"/>
    <w:unhideWhenUsed/>
    <w:rsid w:val="00471D59"/>
    <w:pPr>
      <w:spacing w:before="100" w:beforeAutospacing="1" w:after="100" w:afterAutospacing="1" w:line="240" w:lineRule="auto"/>
    </w:pPr>
    <w:rPr>
      <w:rFonts w:ascii="Times New Roman" w:eastAsia="Calibri" w:hAnsi="Times New Roman" w:cs="Times New Roman"/>
      <w:sz w:val="24"/>
      <w:szCs w:val="24"/>
    </w:rPr>
  </w:style>
  <w:style w:type="table" w:customStyle="1" w:styleId="TableGrid1">
    <w:name w:val="Table Grid1"/>
    <w:basedOn w:val="TableauNormal"/>
    <w:next w:val="Grilledutableau"/>
    <w:uiPriority w:val="39"/>
    <w:rsid w:val="001C68E5"/>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153CC"/>
    <w:rPr>
      <w:sz w:val="22"/>
      <w:szCs w:val="22"/>
    </w:rPr>
  </w:style>
  <w:style w:type="character" w:styleId="Mentionnonrsolue">
    <w:name w:val="Unresolved Mention"/>
    <w:uiPriority w:val="99"/>
    <w:semiHidden/>
    <w:unhideWhenUsed/>
    <w:rsid w:val="00FB1A0A"/>
    <w:rPr>
      <w:color w:val="605E5C"/>
      <w:lang w:val="fr-FR" w:eastAsia="fr-FR"/>
    </w:rPr>
  </w:style>
  <w:style w:type="character" w:customStyle="1" w:styleId="cf01">
    <w:name w:val="cf01"/>
    <w:rsid w:val="00D45D9C"/>
    <w:rPr>
      <w:rFonts w:ascii="Segoe UI" w:hAnsi="Segoe UI" w:cs="Segoe UI" w:hint="default"/>
      <w:sz w:val="18"/>
      <w:szCs w:val="18"/>
      <w:lang w:val="fr-FR" w:eastAsia="fr-FR"/>
    </w:rPr>
  </w:style>
  <w:style w:type="paragraph" w:customStyle="1" w:styleId="Indicator">
    <w:name w:val="Indicator"/>
    <w:basedOn w:val="Titre3"/>
    <w:link w:val="IndicatorChar"/>
    <w:qFormat/>
    <w:rsid w:val="00800F6F"/>
    <w:pPr>
      <w:pageBreakBefore w:val="0"/>
      <w:spacing w:before="240" w:after="120" w:line="288" w:lineRule="auto"/>
      <w:jc w:val="both"/>
    </w:pPr>
    <w:rPr>
      <w:color w:val="auto"/>
      <w:sz w:val="28"/>
      <w:szCs w:val="20"/>
      <w:lang w:eastAsia="fr-CH"/>
    </w:rPr>
  </w:style>
  <w:style w:type="character" w:customStyle="1" w:styleId="IndicatorChar">
    <w:name w:val="Indicator Char"/>
    <w:basedOn w:val="Policepardfaut"/>
    <w:link w:val="Indicator"/>
    <w:rsid w:val="00800F6F"/>
    <w:rPr>
      <w:b/>
      <w:sz w:val="28"/>
      <w:lang w:eastAsia="fr-CH"/>
    </w:rPr>
  </w:style>
  <w:style w:type="paragraph" w:customStyle="1" w:styleId="Dimension">
    <w:name w:val="Dimension"/>
    <w:basedOn w:val="Titre4"/>
    <w:link w:val="DimensionChar"/>
    <w:qFormat/>
    <w:rsid w:val="00800F6F"/>
    <w:pPr>
      <w:pageBreakBefore/>
      <w:tabs>
        <w:tab w:val="clear" w:pos="8100"/>
      </w:tabs>
      <w:spacing w:before="240" w:line="288" w:lineRule="auto"/>
      <w:jc w:val="both"/>
    </w:pPr>
    <w:rPr>
      <w:sz w:val="24"/>
      <w:szCs w:val="20"/>
      <w:lang w:eastAsia="fr-CH"/>
    </w:rPr>
  </w:style>
  <w:style w:type="character" w:customStyle="1" w:styleId="DimensionChar">
    <w:name w:val="Dimension Char"/>
    <w:basedOn w:val="Policepardfaut"/>
    <w:link w:val="Dimension"/>
    <w:rsid w:val="00800F6F"/>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archive.ipu.org/PDF/publications/democracy_fr.pdf" TargetMode="External"/><Relationship Id="rId18" Type="http://schemas.openxmlformats.org/officeDocument/2006/relationships/hyperlink" Target="http://archive.ipu.org/PDF/publications/democracy_fr.pdf" TargetMode="External"/><Relationship Id="rId26" Type="http://schemas.openxmlformats.org/officeDocument/2006/relationships/hyperlink" Target="https://www.access-info.org/wp-content/uploads/Article_19_principles_on_the_public_right_to_know.pdf" TargetMode="External"/><Relationship Id="rId39" Type="http://schemas.openxmlformats.org/officeDocument/2006/relationships/hyperlink" Target="https://www.ndi.org/sites/default/files/2113_gov_standards_010107_5.pdf" TargetMode="External"/><Relationship Id="rId3" Type="http://schemas.openxmlformats.org/officeDocument/2006/relationships/customXml" Target="../customXml/item3.xml"/><Relationship Id="rId21" Type="http://schemas.openxmlformats.org/officeDocument/2006/relationships/hyperlink" Target="https://www.finance.gov.au/government/procurement/commonwealth-procurement-rules" TargetMode="External"/><Relationship Id="rId34" Type="http://schemas.openxmlformats.org/officeDocument/2006/relationships/hyperlink" Target="https://issuu.com/theparliamentarian/docs/recommended_benchmarks_for_democrat" TargetMode="External"/><Relationship Id="rId42" Type="http://schemas.openxmlformats.org/officeDocument/2006/relationships/hyperlink" Target="https://www.ipu.org/fr/ressources/publications/reference/2020-09/etude-comparative-sur-ladministration-parlementaire" TargetMode="External"/><Relationship Id="rId47"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archive.ipu.org/PDF/publications/democracy_fr.pdf" TargetMode="External"/><Relationship Id="rId17" Type="http://schemas.openxmlformats.org/officeDocument/2006/relationships/hyperlink" Target="https://issuu.com/theparliamentarian/docs/recommended_benchmarks_for_democrat" TargetMode="External"/><Relationship Id="rId25" Type="http://schemas.openxmlformats.org/officeDocument/2006/relationships/hyperlink" Target="https://www.access-info.org/wp-content/uploads/Article_19_principles_on_the_public_right_to_know.pdf" TargetMode="External"/><Relationship Id="rId33" Type="http://schemas.openxmlformats.org/officeDocument/2006/relationships/hyperlink" Target="https://www.asgp.co/fr/node/30766" TargetMode="External"/><Relationship Id="rId38" Type="http://schemas.openxmlformats.org/officeDocument/2006/relationships/hyperlink" Target="http://archive.ipu.org/PDF/publications/democracy_fr.pdf"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ssuu.com/theparliamentarian/docs/recommended_benchmarks_for_democrat" TargetMode="External"/><Relationship Id="rId20" Type="http://schemas.openxmlformats.org/officeDocument/2006/relationships/hyperlink" Target="http://archive.ipu.org/PDF/publications/democracy_fr.pdf" TargetMode="External"/><Relationship Id="rId29" Type="http://schemas.openxmlformats.org/officeDocument/2006/relationships/hyperlink" Target="http://archive.ipu.org/PDF/publications/democracy_fr.pdf" TargetMode="External"/><Relationship Id="rId41" Type="http://schemas.openxmlformats.org/officeDocument/2006/relationships/hyperlink" Target="https://www.ipu.org/fr/ressources/publications/reference/2019-11/lignes-directrices-pour-lelimination-du-sexisme-du-harcelement-et-de-la-violence-legard-des-femmes-dans-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theparliamentarian/docs/recommended_benchmarks_for_democrat" TargetMode="External"/><Relationship Id="rId24" Type="http://schemas.openxmlformats.org/officeDocument/2006/relationships/hyperlink" Target="https://www.oecd.org/gov/public-procurement/recommendation/" TargetMode="External"/><Relationship Id="rId32" Type="http://schemas.openxmlformats.org/officeDocument/2006/relationships/hyperlink" Target="https://www.ndi.org/sites/default/files/2113_gov_standards_010107_5.pdf" TargetMode="External"/><Relationship Id="rId37" Type="http://schemas.openxmlformats.org/officeDocument/2006/relationships/hyperlink" Target="http://archive.ipu.org/PDF/publications/democracy_fr.pdf" TargetMode="External"/><Relationship Id="rId40" Type="http://schemas.openxmlformats.org/officeDocument/2006/relationships/hyperlink" Target="https://www.ipu.org/fr/ressources/publications/reference/2019-11/lignes-directrices-pour-lelimination-du-sexisme-du-harcelement-et-de-la-violence-legard-des-femmes-dans-les" TargetMode="External"/><Relationship Id="rId45"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di.org/sites/default/files/2113_gov_standards_010107_5.pdf" TargetMode="External"/><Relationship Id="rId23" Type="http://schemas.openxmlformats.org/officeDocument/2006/relationships/hyperlink" Target="https://www.ndi.org/sites/default/files/2113_gov_standards_010107_5.pdf" TargetMode="External"/><Relationship Id="rId28" Type="http://schemas.openxmlformats.org/officeDocument/2006/relationships/hyperlink" Target="https://issuu.com/theparliamentarian/docs/recommended_benchmarks_for_democrat" TargetMode="External"/><Relationship Id="rId36" Type="http://schemas.openxmlformats.org/officeDocument/2006/relationships/hyperlink" Target="http://archive.ipu.org/PDF/publications/democracy_fr.pdf" TargetMode="External"/><Relationship Id="rId49" Type="http://schemas.openxmlformats.org/officeDocument/2006/relationships/theme" Target="theme/theme1.xml"/><Relationship Id="rId10" Type="http://schemas.openxmlformats.org/officeDocument/2006/relationships/hyperlink" Target="https://issuu.com/theparliamentarian/docs/recommended_benchmarks_for_democrat" TargetMode="External"/><Relationship Id="rId19" Type="http://schemas.openxmlformats.org/officeDocument/2006/relationships/hyperlink" Target="http://archive.ipu.org/PDF/publications/democracy_fr.pdf" TargetMode="External"/><Relationship Id="rId31" Type="http://schemas.openxmlformats.org/officeDocument/2006/relationships/hyperlink" Target="http://archive.ipu.org/PDF/publications/democracy_fr.pdf"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hive.ipu.org/PDF/publications/democracy_fr.pdf" TargetMode="External"/><Relationship Id="rId22" Type="http://schemas.openxmlformats.org/officeDocument/2006/relationships/hyperlink" Target="https://procurement.gov.bz/public-procurement-procedures-handbook/" TargetMode="External"/><Relationship Id="rId27" Type="http://schemas.openxmlformats.org/officeDocument/2006/relationships/hyperlink" Target="https://issuu.com/theparliamentarian/docs/recommended_benchmarks_for_democrat" TargetMode="External"/><Relationship Id="rId30" Type="http://schemas.openxmlformats.org/officeDocument/2006/relationships/hyperlink" Target="http://archive.ipu.org/PDF/publications/democracy_fr.pdf" TargetMode="External"/><Relationship Id="rId35" Type="http://schemas.openxmlformats.org/officeDocument/2006/relationships/hyperlink" Target="https://issuu.com/theparliamentarian/docs/recommended_benchmarks_for_democrat" TargetMode="External"/><Relationship Id="rId43" Type="http://schemas.openxmlformats.org/officeDocument/2006/relationships/hyperlink" Target="https://www.ipu.org/fr/ressources/publications/reference/2016-07/principes-communs-en-matiere-dassistance-aux-parlements" TargetMode="External"/><Relationship Id="rId48" Type="http://schemas.openxmlformats.org/officeDocument/2006/relationships/fontTable" Target="fontTable.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541DE-09FE-4735-9BBC-F5AE47A5A4C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30B177-F5E6-4135-8576-985A85E8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85A171-3E3D-46BE-879C-20A242BCCD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6019</Words>
  <Characters>33110</Characters>
  <Application>Microsoft Office Word</Application>
  <DocSecurity>0</DocSecurity>
  <Lines>275</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39051</CharactersWithSpaces>
  <SharedDoc>false</SharedDoc>
  <HLinks>
    <vt:vector size="204" baseType="variant">
      <vt:variant>
        <vt:i4>3801147</vt:i4>
      </vt:variant>
      <vt:variant>
        <vt:i4>99</vt:i4>
      </vt:variant>
      <vt:variant>
        <vt:i4>0</vt:i4>
      </vt:variant>
      <vt:variant>
        <vt:i4>5</vt:i4>
      </vt:variant>
      <vt:variant>
        <vt:lpwstr>https://www.ipu.org/resources/publications/reference/2016-07/common-principles-support-parliaments</vt:lpwstr>
      </vt:variant>
      <vt:variant>
        <vt:lpwstr/>
      </vt:variant>
      <vt:variant>
        <vt:i4>5832735</vt:i4>
      </vt:variant>
      <vt:variant>
        <vt:i4>96</vt:i4>
      </vt:variant>
      <vt:variant>
        <vt:i4>0</vt:i4>
      </vt:variant>
      <vt:variant>
        <vt:i4>5</vt:i4>
      </vt:variant>
      <vt:variant>
        <vt:lpwstr>https://www.ndi.org/sites/default/files/2113_gov_standards_010107_5.pdf</vt:lpwstr>
      </vt:variant>
      <vt:variant>
        <vt:lpwstr/>
      </vt:variant>
      <vt:variant>
        <vt:i4>4390934</vt:i4>
      </vt:variant>
      <vt:variant>
        <vt:i4>93</vt:i4>
      </vt:variant>
      <vt:variant>
        <vt:i4>0</vt:i4>
      </vt:variant>
      <vt:variant>
        <vt:i4>5</vt:i4>
      </vt:variant>
      <vt:variant>
        <vt:lpwstr>https://www.ipu.org/resources/publications/reference/2020-09/comparative-research-paper-parliamentary-administration</vt:lpwstr>
      </vt:variant>
      <vt:variant>
        <vt:lpwstr/>
      </vt:variant>
      <vt:variant>
        <vt:i4>3538990</vt:i4>
      </vt:variant>
      <vt:variant>
        <vt:i4>90</vt:i4>
      </vt:variant>
      <vt:variant>
        <vt:i4>0</vt:i4>
      </vt:variant>
      <vt:variant>
        <vt:i4>5</vt:i4>
      </vt:variant>
      <vt:variant>
        <vt:lpwstr>https://www.ipu.org/resources/publications/reference/2019-11/guidelines-elimination-sexism-harassment-and-violence-against-women-in-parliament</vt:lpwstr>
      </vt:variant>
      <vt:variant>
        <vt:lpwstr/>
      </vt:variant>
      <vt:variant>
        <vt:i4>3538990</vt:i4>
      </vt:variant>
      <vt:variant>
        <vt:i4>87</vt:i4>
      </vt:variant>
      <vt:variant>
        <vt:i4>0</vt:i4>
      </vt:variant>
      <vt:variant>
        <vt:i4>5</vt:i4>
      </vt:variant>
      <vt:variant>
        <vt:lpwstr>https://www.ipu.org/resources/publications/reference/2019-11/guidelines-elimination-sexism-harassment-and-violence-against-women-in-parliament</vt:lpwstr>
      </vt:variant>
      <vt:variant>
        <vt:lpwstr/>
      </vt:variant>
      <vt:variant>
        <vt:i4>7405581</vt:i4>
      </vt:variant>
      <vt:variant>
        <vt:i4>84</vt:i4>
      </vt:variant>
      <vt:variant>
        <vt:i4>0</vt:i4>
      </vt:variant>
      <vt:variant>
        <vt:i4>5</vt:i4>
      </vt:variant>
      <vt:variant>
        <vt:lpwstr>https://issuu.com/theparliamentarian/docs/recommended_benchmarks_for_democrat</vt:lpwstr>
      </vt:variant>
      <vt:variant>
        <vt:lpwstr/>
      </vt:variant>
      <vt:variant>
        <vt:i4>7405581</vt:i4>
      </vt:variant>
      <vt:variant>
        <vt:i4>81</vt:i4>
      </vt:variant>
      <vt:variant>
        <vt:i4>0</vt:i4>
      </vt:variant>
      <vt:variant>
        <vt:i4>5</vt:i4>
      </vt:variant>
      <vt:variant>
        <vt:lpwstr>https://issuu.com/theparliamentarian/docs/recommended_benchmarks_for_democrat</vt:lpwstr>
      </vt:variant>
      <vt:variant>
        <vt:lpwstr/>
      </vt:variant>
      <vt:variant>
        <vt:i4>2687052</vt:i4>
      </vt:variant>
      <vt:variant>
        <vt:i4>78</vt:i4>
      </vt:variant>
      <vt:variant>
        <vt:i4>0</vt:i4>
      </vt:variant>
      <vt:variant>
        <vt:i4>5</vt:i4>
      </vt:variant>
      <vt:variant>
        <vt:lpwstr>http://archive.ipu.org/PDF/publications/democracy_en.pdf</vt:lpwstr>
      </vt:variant>
      <vt:variant>
        <vt:lpwstr/>
      </vt:variant>
      <vt:variant>
        <vt:i4>2687052</vt:i4>
      </vt:variant>
      <vt:variant>
        <vt:i4>75</vt:i4>
      </vt:variant>
      <vt:variant>
        <vt:i4>0</vt:i4>
      </vt:variant>
      <vt:variant>
        <vt:i4>5</vt:i4>
      </vt:variant>
      <vt:variant>
        <vt:lpwstr>http://archive.ipu.org/PDF/publications/democracy_en.pdf</vt:lpwstr>
      </vt:variant>
      <vt:variant>
        <vt:lpwstr/>
      </vt:variant>
      <vt:variant>
        <vt:i4>2687052</vt:i4>
      </vt:variant>
      <vt:variant>
        <vt:i4>72</vt:i4>
      </vt:variant>
      <vt:variant>
        <vt:i4>0</vt:i4>
      </vt:variant>
      <vt:variant>
        <vt:i4>5</vt:i4>
      </vt:variant>
      <vt:variant>
        <vt:lpwstr>http://archive.ipu.org/PDF/publications/democracy_en.pdf</vt:lpwstr>
      </vt:variant>
      <vt:variant>
        <vt:lpwstr/>
      </vt:variant>
      <vt:variant>
        <vt:i4>4128804</vt:i4>
      </vt:variant>
      <vt:variant>
        <vt:i4>69</vt:i4>
      </vt:variant>
      <vt:variant>
        <vt:i4>0</vt:i4>
      </vt:variant>
      <vt:variant>
        <vt:i4>5</vt:i4>
      </vt:variant>
      <vt:variant>
        <vt:lpwstr>https://www.asgp.co/node/30766</vt:lpwstr>
      </vt:variant>
      <vt:variant>
        <vt:lpwstr/>
      </vt:variant>
      <vt:variant>
        <vt:i4>5832735</vt:i4>
      </vt:variant>
      <vt:variant>
        <vt:i4>66</vt:i4>
      </vt:variant>
      <vt:variant>
        <vt:i4>0</vt:i4>
      </vt:variant>
      <vt:variant>
        <vt:i4>5</vt:i4>
      </vt:variant>
      <vt:variant>
        <vt:lpwstr>https://www.ndi.org/sites/default/files/2113_gov_standards_010107_5.pdf</vt:lpwstr>
      </vt:variant>
      <vt:variant>
        <vt:lpwstr/>
      </vt:variant>
      <vt:variant>
        <vt:i4>7405581</vt:i4>
      </vt:variant>
      <vt:variant>
        <vt:i4>63</vt:i4>
      </vt:variant>
      <vt:variant>
        <vt:i4>0</vt:i4>
      </vt:variant>
      <vt:variant>
        <vt:i4>5</vt:i4>
      </vt:variant>
      <vt:variant>
        <vt:lpwstr>https://issuu.com/theparliamentarian/docs/recommended_benchmarks_for_democrat</vt:lpwstr>
      </vt:variant>
      <vt:variant>
        <vt:lpwstr/>
      </vt:variant>
      <vt:variant>
        <vt:i4>7405581</vt:i4>
      </vt:variant>
      <vt:variant>
        <vt:i4>60</vt:i4>
      </vt:variant>
      <vt:variant>
        <vt:i4>0</vt:i4>
      </vt:variant>
      <vt:variant>
        <vt:i4>5</vt:i4>
      </vt:variant>
      <vt:variant>
        <vt:lpwstr>https://issuu.com/theparliamentarian/docs/recommended_benchmarks_for_democrat</vt:lpwstr>
      </vt:variant>
      <vt:variant>
        <vt:lpwstr/>
      </vt:variant>
      <vt:variant>
        <vt:i4>2687052</vt:i4>
      </vt:variant>
      <vt:variant>
        <vt:i4>57</vt:i4>
      </vt:variant>
      <vt:variant>
        <vt:i4>0</vt:i4>
      </vt:variant>
      <vt:variant>
        <vt:i4>5</vt:i4>
      </vt:variant>
      <vt:variant>
        <vt:lpwstr>http://archive.ipu.org/PDF/publications/democracy_en.pdf</vt:lpwstr>
      </vt:variant>
      <vt:variant>
        <vt:lpwstr/>
      </vt:variant>
      <vt:variant>
        <vt:i4>2687052</vt:i4>
      </vt:variant>
      <vt:variant>
        <vt:i4>54</vt:i4>
      </vt:variant>
      <vt:variant>
        <vt:i4>0</vt:i4>
      </vt:variant>
      <vt:variant>
        <vt:i4>5</vt:i4>
      </vt:variant>
      <vt:variant>
        <vt:lpwstr>http://archive.ipu.org/PDF/publications/democracy_en.pdf</vt:lpwstr>
      </vt:variant>
      <vt:variant>
        <vt:lpwstr/>
      </vt:variant>
      <vt:variant>
        <vt:i4>2687052</vt:i4>
      </vt:variant>
      <vt:variant>
        <vt:i4>51</vt:i4>
      </vt:variant>
      <vt:variant>
        <vt:i4>0</vt:i4>
      </vt:variant>
      <vt:variant>
        <vt:i4>5</vt:i4>
      </vt:variant>
      <vt:variant>
        <vt:lpwstr>http://archive.ipu.org/PDF/publications/democracy_en.pdf</vt:lpwstr>
      </vt:variant>
      <vt:variant>
        <vt:lpwstr/>
      </vt:variant>
      <vt:variant>
        <vt:i4>589892</vt:i4>
      </vt:variant>
      <vt:variant>
        <vt:i4>48</vt:i4>
      </vt:variant>
      <vt:variant>
        <vt:i4>0</vt:i4>
      </vt:variant>
      <vt:variant>
        <vt:i4>5</vt:i4>
      </vt:variant>
      <vt:variant>
        <vt:lpwstr>https://www.access-info.org/wp-content/uploads/Article_19_principles_on_the_public_right_to_know.pdf</vt:lpwstr>
      </vt:variant>
      <vt:variant>
        <vt:lpwstr/>
      </vt:variant>
      <vt:variant>
        <vt:i4>589892</vt:i4>
      </vt:variant>
      <vt:variant>
        <vt:i4>45</vt:i4>
      </vt:variant>
      <vt:variant>
        <vt:i4>0</vt:i4>
      </vt:variant>
      <vt:variant>
        <vt:i4>5</vt:i4>
      </vt:variant>
      <vt:variant>
        <vt:lpwstr>https://www.access-info.org/wp-content/uploads/Article_19_principles_on_the_public_right_to_know.pdf</vt:lpwstr>
      </vt:variant>
      <vt:variant>
        <vt:lpwstr/>
      </vt:variant>
      <vt:variant>
        <vt:i4>2490493</vt:i4>
      </vt:variant>
      <vt:variant>
        <vt:i4>42</vt:i4>
      </vt:variant>
      <vt:variant>
        <vt:i4>0</vt:i4>
      </vt:variant>
      <vt:variant>
        <vt:i4>5</vt:i4>
      </vt:variant>
      <vt:variant>
        <vt:lpwstr>https://www.oecd.org/gov/public-procurement/recommendation/</vt:lpwstr>
      </vt:variant>
      <vt:variant>
        <vt:lpwstr/>
      </vt:variant>
      <vt:variant>
        <vt:i4>5832735</vt:i4>
      </vt:variant>
      <vt:variant>
        <vt:i4>39</vt:i4>
      </vt:variant>
      <vt:variant>
        <vt:i4>0</vt:i4>
      </vt:variant>
      <vt:variant>
        <vt:i4>5</vt:i4>
      </vt:variant>
      <vt:variant>
        <vt:lpwstr>https://www.ndi.org/sites/default/files/2113_gov_standards_010107_5.pdf</vt:lpwstr>
      </vt:variant>
      <vt:variant>
        <vt:lpwstr/>
      </vt:variant>
      <vt:variant>
        <vt:i4>3080224</vt:i4>
      </vt:variant>
      <vt:variant>
        <vt:i4>36</vt:i4>
      </vt:variant>
      <vt:variant>
        <vt:i4>0</vt:i4>
      </vt:variant>
      <vt:variant>
        <vt:i4>5</vt:i4>
      </vt:variant>
      <vt:variant>
        <vt:lpwstr>https://procurement.gov.bz/public-procurement-procedures-handbook/</vt:lpwstr>
      </vt:variant>
      <vt:variant>
        <vt:lpwstr/>
      </vt:variant>
      <vt:variant>
        <vt:i4>7405581</vt:i4>
      </vt:variant>
      <vt:variant>
        <vt:i4>33</vt:i4>
      </vt:variant>
      <vt:variant>
        <vt:i4>0</vt:i4>
      </vt:variant>
      <vt:variant>
        <vt:i4>5</vt:i4>
      </vt:variant>
      <vt:variant>
        <vt:lpwstr>https://issuu.com/theparliamentarian/docs/recommended_benchmarks_for_democrat</vt:lpwstr>
      </vt:variant>
      <vt:variant>
        <vt:lpwstr/>
      </vt:variant>
      <vt:variant>
        <vt:i4>7405581</vt:i4>
      </vt:variant>
      <vt:variant>
        <vt:i4>30</vt:i4>
      </vt:variant>
      <vt:variant>
        <vt:i4>0</vt:i4>
      </vt:variant>
      <vt:variant>
        <vt:i4>5</vt:i4>
      </vt:variant>
      <vt:variant>
        <vt:lpwstr>https://issuu.com/theparliamentarian/docs/recommended_benchmarks_for_democrat</vt:lpwstr>
      </vt:variant>
      <vt:variant>
        <vt:lpwstr/>
      </vt:variant>
      <vt:variant>
        <vt:i4>2687052</vt:i4>
      </vt:variant>
      <vt:variant>
        <vt:i4>27</vt:i4>
      </vt:variant>
      <vt:variant>
        <vt:i4>0</vt:i4>
      </vt:variant>
      <vt:variant>
        <vt:i4>5</vt:i4>
      </vt:variant>
      <vt:variant>
        <vt:lpwstr>http://archive.ipu.org/PDF/publications/democracy_en.pdf</vt:lpwstr>
      </vt:variant>
      <vt:variant>
        <vt:lpwstr/>
      </vt:variant>
      <vt:variant>
        <vt:i4>2687052</vt:i4>
      </vt:variant>
      <vt:variant>
        <vt:i4>24</vt:i4>
      </vt:variant>
      <vt:variant>
        <vt:i4>0</vt:i4>
      </vt:variant>
      <vt:variant>
        <vt:i4>5</vt:i4>
      </vt:variant>
      <vt:variant>
        <vt:lpwstr>http://archive.ipu.org/PDF/publications/democracy_en.pdf</vt:lpwstr>
      </vt:variant>
      <vt:variant>
        <vt:lpwstr/>
      </vt:variant>
      <vt:variant>
        <vt:i4>2687052</vt:i4>
      </vt:variant>
      <vt:variant>
        <vt:i4>21</vt:i4>
      </vt:variant>
      <vt:variant>
        <vt:i4>0</vt:i4>
      </vt:variant>
      <vt:variant>
        <vt:i4>5</vt:i4>
      </vt:variant>
      <vt:variant>
        <vt:lpwstr>http://archive.ipu.org/PDF/publications/democracy_en.pdf</vt:lpwstr>
      </vt:variant>
      <vt:variant>
        <vt:lpwstr/>
      </vt:variant>
      <vt:variant>
        <vt:i4>4653060</vt:i4>
      </vt:variant>
      <vt:variant>
        <vt:i4>18</vt:i4>
      </vt:variant>
      <vt:variant>
        <vt:i4>0</vt:i4>
      </vt:variant>
      <vt:variant>
        <vt:i4>5</vt:i4>
      </vt:variant>
      <vt:variant>
        <vt:lpwstr>https://www.finance.gov.au/government/procurement/commonwealth-procurement-rules</vt:lpwstr>
      </vt:variant>
      <vt:variant>
        <vt:lpwstr/>
      </vt:variant>
      <vt:variant>
        <vt:i4>5832735</vt:i4>
      </vt:variant>
      <vt:variant>
        <vt:i4>15</vt:i4>
      </vt:variant>
      <vt:variant>
        <vt:i4>0</vt:i4>
      </vt:variant>
      <vt:variant>
        <vt:i4>5</vt:i4>
      </vt:variant>
      <vt:variant>
        <vt:lpwstr>https://www.ndi.org/sites/default/files/2113_gov_standards_010107_5.pdf</vt:lpwstr>
      </vt:variant>
      <vt:variant>
        <vt:lpwstr/>
      </vt:variant>
      <vt:variant>
        <vt:i4>7405581</vt:i4>
      </vt:variant>
      <vt:variant>
        <vt:i4>12</vt:i4>
      </vt:variant>
      <vt:variant>
        <vt:i4>0</vt:i4>
      </vt:variant>
      <vt:variant>
        <vt:i4>5</vt:i4>
      </vt:variant>
      <vt:variant>
        <vt:lpwstr>https://issuu.com/theparliamentarian/docs/recommended_benchmarks_for_democrat</vt:lpwstr>
      </vt:variant>
      <vt:variant>
        <vt:lpwstr/>
      </vt:variant>
      <vt:variant>
        <vt:i4>7405581</vt:i4>
      </vt:variant>
      <vt:variant>
        <vt:i4>9</vt:i4>
      </vt:variant>
      <vt:variant>
        <vt:i4>0</vt:i4>
      </vt:variant>
      <vt:variant>
        <vt:i4>5</vt:i4>
      </vt:variant>
      <vt:variant>
        <vt:lpwstr>https://issuu.com/theparliamentarian/docs/recommended_benchmarks_for_democrat</vt:lpwstr>
      </vt:variant>
      <vt:variant>
        <vt:lpwstr/>
      </vt:variant>
      <vt:variant>
        <vt:i4>2687052</vt:i4>
      </vt:variant>
      <vt:variant>
        <vt:i4>6</vt:i4>
      </vt:variant>
      <vt:variant>
        <vt:i4>0</vt:i4>
      </vt:variant>
      <vt:variant>
        <vt:i4>5</vt:i4>
      </vt:variant>
      <vt:variant>
        <vt:lpwstr>http://archive.ipu.org/PDF/publications/democracy_en.pdf</vt:lpwstr>
      </vt:variant>
      <vt:variant>
        <vt:lpwstr/>
      </vt:variant>
      <vt:variant>
        <vt:i4>2687052</vt:i4>
      </vt:variant>
      <vt:variant>
        <vt:i4>3</vt:i4>
      </vt:variant>
      <vt:variant>
        <vt:i4>0</vt:i4>
      </vt:variant>
      <vt:variant>
        <vt:i4>5</vt:i4>
      </vt:variant>
      <vt:variant>
        <vt:lpwstr>http://archive.ipu.org/PDF/publications/democracy_en.pdf</vt:lpwstr>
      </vt:variant>
      <vt:variant>
        <vt:lpwstr/>
      </vt:variant>
      <vt:variant>
        <vt:i4>2687052</vt:i4>
      </vt:variant>
      <vt:variant>
        <vt:i4>0</vt:i4>
      </vt:variant>
      <vt:variant>
        <vt:i4>0</vt:i4>
      </vt:variant>
      <vt:variant>
        <vt:i4>5</vt:i4>
      </vt:variant>
      <vt:variant>
        <vt:lpwstr>http://archive.ipu.org/PDF/publications/democracy_en.pdf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49</cp:revision>
  <dcterms:created xsi:type="dcterms:W3CDTF">2023-09-21T12:29:00Z</dcterms:created>
  <dcterms:modified xsi:type="dcterms:W3CDTF">2023-10-19T04:19:00Z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